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4"/>
        <w:ind w:hanging="0" w:start="0"/>
        <w:jc w:val="center"/>
        <w:rPr/>
      </w:pPr>
      <w:r>
        <w:rPr/>
        <w:t>Xiaojun George Huan</w:t>
      </w:r>
    </w:p>
    <w:p>
      <w:pPr>
        <w:pStyle w:val="Normal"/>
        <w:rPr/>
      </w:pPr>
      <w:r>
        <w:rPr/>
        <w:t xml:space="preserve">724 International Blvd. #26                 </w:t>
        <w:tab/>
        <w:tab/>
        <w:tab/>
        <w:tab/>
        <w:tab/>
        <w:tab/>
        <w:tab/>
        <w:tab/>
        <w:t xml:space="preserve">               (713) 682-6005</w:t>
      </w:r>
    </w:p>
    <w:p>
      <w:pPr>
        <w:pStyle w:val="Normal"/>
        <w:rPr>
          <w:color w:val="000080"/>
          <w:sz w:val="22"/>
          <w:u w:val="single"/>
        </w:rPr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13335</wp:posOffset>
                </wp:positionH>
                <wp:positionV relativeFrom="paragraph">
                  <wp:posOffset>195580</wp:posOffset>
                </wp:positionV>
                <wp:extent cx="7010400" cy="0"/>
                <wp:effectExtent l="0" t="5080" r="0" b="5080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028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.05pt,15.4pt" to="553pt,15.4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  <w:r>
        <w:rPr/>
        <w:t xml:space="preserve">Houston, TX 77024                       </w:t>
        <w:tab/>
        <w:tab/>
        <w:tab/>
        <w:tab/>
        <w:tab/>
        <w:tab/>
        <w:tab/>
        <w:tab/>
        <w:tab/>
        <w:t xml:space="preserve">        </w:t>
      </w:r>
      <w:r>
        <w:rPr>
          <w:color w:val="000080"/>
          <w:u w:val="single"/>
        </w:rPr>
        <w:t>xjhuan@yahoo.com</w:t>
      </w:r>
    </w:p>
    <w:p>
      <w:pPr>
        <w:pStyle w:val="Normal"/>
        <w:rPr>
          <w:color w:val="000080"/>
          <w:sz w:val="22"/>
          <w:u w:val="single"/>
        </w:rPr>
      </w:pPr>
      <w:r>
        <w:rPr>
          <w:color w:val="000080"/>
          <w:sz w:val="22"/>
          <w:u w:val="single"/>
        </w:rPr>
      </w:r>
    </w:p>
    <w:tbl>
      <w:tblPr>
        <w:tblW w:w="11127" w:type="dxa"/>
        <w:jc w:val="start"/>
        <w:tblInd w:w="0" w:type="dxa"/>
        <w:tblLayout w:type="fixed"/>
        <w:tblCellMar>
          <w:top w:w="0" w:type="dxa"/>
          <w:start w:w="57" w:type="dxa"/>
          <w:bottom w:w="0" w:type="dxa"/>
          <w:end w:w="57" w:type="dxa"/>
        </w:tblCellMar>
      </w:tblPr>
      <w:tblGrid>
        <w:gridCol w:w="2127"/>
        <w:gridCol w:w="7650"/>
        <w:gridCol w:w="1350"/>
      </w:tblGrid>
      <w:tr>
        <w:trPr>
          <w:trHeight w:val="648" w:hRule="atLeast"/>
        </w:trPr>
        <w:tc>
          <w:tcPr>
            <w:tcW w:w="2127" w:type="dxa"/>
            <w:tcBorders/>
          </w:tcPr>
          <w:p>
            <w:pPr>
              <w:pStyle w:val="Heading1"/>
              <w:ind w:hanging="0" w:start="0"/>
              <w:rPr/>
            </w:pPr>
            <w:r>
              <w:rPr>
                <w:caps/>
                <w:sz w:val="22"/>
              </w:rPr>
              <w:t>E</w:t>
            </w:r>
            <w:r>
              <w:rPr>
                <w:sz w:val="22"/>
              </w:rPr>
              <w:t>ducation</w:t>
            </w:r>
          </w:p>
          <w:p>
            <w:pPr>
              <w:pStyle w:val="Normal"/>
              <w:rPr/>
            </w:pPr>
            <w:r>
              <w:rPr/>
              <w:t>05/00</w:t>
            </w:r>
          </w:p>
        </w:tc>
        <w:tc>
          <w:tcPr>
            <w:tcW w:w="7650" w:type="dxa"/>
            <w:tcBorders/>
          </w:tcPr>
          <w:p>
            <w:pPr>
              <w:pStyle w:val="Normal"/>
              <w:rPr/>
            </w:pPr>
            <w:r>
              <w:rPr>
                <w:b/>
              </w:rPr>
              <w:t>The University of Texas at Austin</w:t>
            </w:r>
            <w:r>
              <w:rPr/>
              <w:br/>
            </w:r>
            <w:r>
              <w:rPr>
                <w:i/>
              </w:rPr>
              <w:t>Master of Business Administration (MBA)</w:t>
            </w:r>
            <w:r>
              <w:rPr/>
              <w:br/>
              <w:t xml:space="preserve">Concentration: </w:t>
            </w:r>
            <w:r>
              <w:rPr>
                <w:b/>
                <w:bCs/>
              </w:rPr>
              <w:t>Finance</w:t>
            </w:r>
            <w:r>
              <w:rPr/>
              <w:t xml:space="preserve"> 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Austin, TX</w:t>
            </w:r>
          </w:p>
        </w:tc>
      </w:tr>
      <w:tr>
        <w:trPr>
          <w:trHeight w:val="144" w:hRule="exact"/>
        </w:trPr>
        <w:tc>
          <w:tcPr>
            <w:tcW w:w="11127" w:type="dxa"/>
            <w:gridSpan w:val="3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127" w:type="dxa"/>
            <w:tcBorders/>
          </w:tcPr>
          <w:p>
            <w:pPr>
              <w:pStyle w:val="Normal"/>
              <w:rPr/>
            </w:pPr>
            <w:r>
              <w:rPr/>
              <w:t>01/93</w:t>
            </w:r>
          </w:p>
        </w:tc>
        <w:tc>
          <w:tcPr>
            <w:tcW w:w="7650" w:type="dxa"/>
            <w:tcBorders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Renmin University of China</w:t>
            </w:r>
          </w:p>
          <w:p>
            <w:pPr>
              <w:pStyle w:val="Heading2"/>
              <w:ind w:hanging="0" w:start="0"/>
              <w:rPr/>
            </w:pPr>
            <w:r>
              <w:rPr/>
              <w:t>Master in Economics (Global Economy)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Beijing, China</w:t>
            </w:r>
          </w:p>
        </w:tc>
      </w:tr>
      <w:tr>
        <w:trPr>
          <w:trHeight w:val="144" w:hRule="exact"/>
        </w:trPr>
        <w:tc>
          <w:tcPr>
            <w:tcW w:w="2127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65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127" w:type="dxa"/>
            <w:tcBorders/>
          </w:tcPr>
          <w:p>
            <w:pPr>
              <w:pStyle w:val="Normal"/>
              <w:rPr/>
            </w:pPr>
            <w:r>
              <w:rPr/>
              <w:t>07/89</w:t>
            </w:r>
          </w:p>
        </w:tc>
        <w:tc>
          <w:tcPr>
            <w:tcW w:w="7650" w:type="dxa"/>
            <w:tcBorders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University of Science and Technology of China</w:t>
            </w:r>
          </w:p>
          <w:p>
            <w:pPr>
              <w:pStyle w:val="Heading2"/>
              <w:ind w:hanging="0" w:start="0"/>
              <w:rPr/>
            </w:pPr>
            <w:r>
              <w:rPr/>
              <w:t>Bachelor of Science in Mechanics (Applied Physics)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Hefei, China</w:t>
            </w:r>
          </w:p>
        </w:tc>
      </w:tr>
      <w:tr>
        <w:trPr>
          <w:trHeight w:val="180" w:hRule="exact"/>
        </w:trPr>
        <w:tc>
          <w:tcPr>
            <w:tcW w:w="2127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65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6093" w:hRule="exact"/>
        </w:trPr>
        <w:tc>
          <w:tcPr>
            <w:tcW w:w="2127" w:type="dxa"/>
            <w:tcBorders/>
          </w:tcPr>
          <w:p>
            <w:pPr>
              <w:pStyle w:val="Normal"/>
              <w:rPr/>
            </w:pPr>
            <w:r>
              <w:rPr>
                <w:b/>
                <w:caps/>
                <w:sz w:val="22"/>
              </w:rPr>
              <w:t>E</w:t>
            </w:r>
            <w:r>
              <w:rPr>
                <w:b/>
                <w:sz w:val="22"/>
              </w:rPr>
              <w:t>xperience</w:t>
            </w:r>
            <w:r>
              <w:rPr>
                <w:sz w:val="22"/>
              </w:rPr>
              <w:t xml:space="preserve"> 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>
                <w:sz w:val="6"/>
              </w:rPr>
            </w:pPr>
            <w:r>
              <w:rPr>
                <w:sz w:val="6"/>
              </w:rPr>
            </w:r>
          </w:p>
          <w:p>
            <w:pPr>
              <w:pStyle w:val="Normal"/>
              <w:rPr/>
            </w:pPr>
            <w:r>
              <w:rPr/>
              <w:t>08/01- Present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>
                <w:sz w:val="6"/>
              </w:rPr>
            </w:pPr>
            <w:r>
              <w:rPr>
                <w:sz w:val="6"/>
              </w:rPr>
            </w:r>
          </w:p>
          <w:p>
            <w:pPr>
              <w:pStyle w:val="Normal"/>
              <w:rPr>
                <w:sz w:val="6"/>
              </w:rPr>
            </w:pPr>
            <w:r>
              <w:rPr>
                <w:sz w:val="6"/>
              </w:rPr>
            </w:r>
          </w:p>
          <w:p>
            <w:pPr>
              <w:pStyle w:val="Normal"/>
              <w:rPr/>
            </w:pPr>
            <w:r>
              <w:rPr/>
              <w:t>02/01-08/01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>
                <w:sz w:val="6"/>
              </w:rPr>
            </w:pPr>
            <w:r>
              <w:rPr>
                <w:sz w:val="6"/>
              </w:rPr>
            </w:r>
          </w:p>
          <w:p>
            <w:pPr>
              <w:pStyle w:val="Normal"/>
              <w:rPr/>
            </w:pPr>
            <w:r>
              <w:rPr/>
              <w:t>08/00-02/01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7650" w:type="dxa"/>
            <w:tcBorders/>
          </w:tcPr>
          <w:p>
            <w:pPr>
              <w:pStyle w:val="Heading1"/>
              <w:ind w:hanging="0" w:start="0"/>
              <w:rPr/>
            </w:pPr>
            <w:r>
              <w:rPr/>
              <w:t>Enron Corp</w:t>
            </w:r>
          </w:p>
          <w:p>
            <w:pPr>
              <w:pStyle w:val="Normal"/>
              <w:ind w:hanging="288" w:start="288" w:end="0"/>
              <w:rPr/>
            </w:pPr>
            <w:r>
              <w:rPr>
                <w:b/>
                <w:bCs/>
                <w:i/>
                <w:iCs/>
                <w:szCs w:val="15"/>
              </w:rPr>
              <w:t>Trading Associate</w:t>
            </w:r>
            <w:r>
              <w:rPr>
                <w:szCs w:val="15"/>
              </w:rPr>
              <w:t xml:space="preserve"> -- 13 out of 380 associates in Enron were selected to join the TRADING TRACK - a rotation program that covers trading related function areas (Risk Manage-ment, Structuring, Fundamental Analysis &amp; Logistics), and leads to a trader position.</w:t>
            </w:r>
          </w:p>
          <w:p>
            <w:pPr>
              <w:pStyle w:val="Normal"/>
              <w:rPr>
                <w:i/>
                <w:i/>
                <w:iCs/>
                <w:sz w:val="4"/>
                <w:szCs w:val="15"/>
              </w:rPr>
            </w:pPr>
            <w:r>
              <w:rPr>
                <w:i/>
                <w:iCs/>
                <w:sz w:val="4"/>
                <w:szCs w:val="15"/>
              </w:rPr>
            </w:r>
          </w:p>
          <w:p>
            <w:pPr>
              <w:pStyle w:val="Normal"/>
              <w:rPr/>
            </w:pPr>
            <w:r>
              <w:rPr>
                <w:b/>
                <w:bCs/>
                <w:i/>
                <w:iCs/>
              </w:rPr>
              <w:t>Gas Commodity Structuring</w:t>
            </w:r>
            <w:r>
              <w:rPr>
                <w:b/>
                <w:bCs/>
              </w:rPr>
              <w:t xml:space="preserve">, </w:t>
            </w:r>
            <w:r>
              <w:rPr>
                <w:i/>
                <w:iCs/>
              </w:rPr>
              <w:t>Enron North America</w:t>
            </w:r>
          </w:p>
          <w:p>
            <w:pPr>
              <w:pStyle w:val="Normal"/>
              <w:numPr>
                <w:ilvl w:val="0"/>
                <w:numId w:val="7"/>
              </w:numPr>
              <w:rPr/>
            </w:pPr>
            <w:r>
              <w:rPr/>
              <w:t xml:space="preserve">Work with traders and originators to identify the opportunities/risks associated with a </w:t>
              <w:br/>
              <w:t>transaction (gas supply, storage, transportation, etc.), develop the best structure to maximize value and mitigate risk.</w:t>
            </w:r>
          </w:p>
          <w:p>
            <w:pPr>
              <w:pStyle w:val="Normal"/>
              <w:numPr>
                <w:ilvl w:val="0"/>
                <w:numId w:val="7"/>
              </w:numPr>
              <w:rPr/>
            </w:pPr>
            <w:r>
              <w:rPr/>
              <w:t>Create models to price different components in the transaction (Swap, collar, swaption, Gas Daily option, Spread Option, etc), and facilitate deal booking.</w:t>
            </w:r>
          </w:p>
          <w:p>
            <w:pPr>
              <w:pStyle w:val="Normal"/>
              <w:numPr>
                <w:ilvl w:val="0"/>
                <w:numId w:val="7"/>
              </w:numPr>
              <w:rPr/>
            </w:pPr>
            <w:r>
              <w:rPr/>
              <w:t xml:space="preserve">Add value to existing deals by restructuring the terms to reflect new market conditions or customer needs. </w:t>
            </w:r>
          </w:p>
          <w:p>
            <w:pPr>
              <w:pStyle w:val="Normal"/>
              <w:numPr>
                <w:ilvl w:val="0"/>
                <w:numId w:val="7"/>
              </w:numPr>
              <w:rPr/>
            </w:pPr>
            <w:r>
              <w:rPr/>
              <w:t>Conduct due diligence, review contracts and negotiate terms/conditions</w:t>
            </w:r>
          </w:p>
          <w:p>
            <w:pPr>
              <w:pStyle w:val="Normal"/>
              <w:rPr>
                <w:i/>
                <w:i/>
                <w:iCs/>
                <w:sz w:val="6"/>
              </w:rPr>
            </w:pPr>
            <w:r>
              <w:rPr>
                <w:i/>
                <w:iCs/>
                <w:sz w:val="6"/>
              </w:rPr>
            </w:r>
          </w:p>
          <w:p>
            <w:pPr>
              <w:pStyle w:val="Normal"/>
              <w:rPr/>
            </w:pPr>
            <w:r>
              <w:rPr>
                <w:b/>
                <w:bCs/>
                <w:i/>
                <w:iCs/>
              </w:rPr>
              <w:t>Gas Option Trading Support</w:t>
            </w:r>
            <w:r>
              <w:rPr>
                <w:b/>
                <w:bCs/>
              </w:rPr>
              <w:t xml:space="preserve">, </w:t>
            </w:r>
            <w:r>
              <w:rPr>
                <w:i/>
                <w:iCs/>
              </w:rPr>
              <w:t>Enron North America</w:t>
            </w:r>
          </w:p>
          <w:p>
            <w:pPr>
              <w:pStyle w:val="Normal"/>
              <w:numPr>
                <w:ilvl w:val="0"/>
                <w:numId w:val="5"/>
              </w:numPr>
              <w:rPr/>
            </w:pPr>
            <w:r>
              <w:rPr/>
              <w:t>Supported Option Trader by calculating P&amp;L, consolidating portfolio risk position (Greeks), and monitoring VAR on a daily basis</w:t>
            </w:r>
          </w:p>
          <w:p>
            <w:pPr>
              <w:pStyle w:val="Normal"/>
              <w:numPr>
                <w:ilvl w:val="0"/>
                <w:numId w:val="5"/>
              </w:numPr>
              <w:rPr/>
            </w:pPr>
            <w:r>
              <w:rPr/>
              <w:t xml:space="preserve">Developed exotic option models to value customized option deals – Digital Options on     </w:t>
              <w:br/>
              <w:t>swap, Knock-Out Options, Asian Options, Basis Options, etc… </w:t>
            </w:r>
          </w:p>
          <w:p>
            <w:pPr>
              <w:pStyle w:val="Normal"/>
              <w:numPr>
                <w:ilvl w:val="0"/>
                <w:numId w:val="5"/>
              </w:numPr>
              <w:rPr/>
            </w:pPr>
            <w:r>
              <w:rPr/>
              <w:t>Corrected mistakes in previous valuation models, adding $1,000,000 profit</w:t>
            </w:r>
          </w:p>
          <w:p>
            <w:pPr>
              <w:pStyle w:val="Normal"/>
              <w:numPr>
                <w:ilvl w:val="0"/>
                <w:numId w:val="5"/>
              </w:numPr>
              <w:rPr/>
            </w:pPr>
            <w:r>
              <w:rPr/>
              <w:t>Located inherent errors in VAR system, resulting in more accurate VAR estimation</w:t>
            </w:r>
          </w:p>
          <w:p>
            <w:pPr>
              <w:pStyle w:val="Normal"/>
              <w:numPr>
                <w:ilvl w:val="0"/>
                <w:numId w:val="5"/>
              </w:numPr>
              <w:rPr/>
            </w:pPr>
            <w:r>
              <w:rPr/>
              <w:t>Worked with traders and IT group to develop software applications used to report Gas Daily Options risk matrix</w:t>
            </w:r>
          </w:p>
          <w:p>
            <w:pPr>
              <w:pStyle w:val="Normal"/>
              <w:rPr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  <w:i/>
                <w:iCs/>
              </w:rPr>
              <w:t>Power Commodity Risk Management</w:t>
            </w:r>
            <w:r>
              <w:rPr>
                <w:b/>
                <w:bCs/>
              </w:rPr>
              <w:t xml:space="preserve">, </w:t>
            </w:r>
            <w:r>
              <w:rPr>
                <w:i/>
                <w:iCs/>
              </w:rPr>
              <w:t>Enron Energy Services</w:t>
            </w:r>
          </w:p>
          <w:p>
            <w:pPr>
              <w:pStyle w:val="Normal"/>
              <w:numPr>
                <w:ilvl w:val="0"/>
                <w:numId w:val="3"/>
              </w:numPr>
              <w:rPr/>
            </w:pPr>
            <w:r>
              <w:rPr/>
              <w:t>Priced long-term power deals and identified embedded options</w:t>
            </w:r>
          </w:p>
          <w:p>
            <w:pPr>
              <w:pStyle w:val="Normal"/>
              <w:numPr>
                <w:ilvl w:val="0"/>
                <w:numId w:val="3"/>
              </w:numPr>
              <w:rPr/>
            </w:pPr>
            <w:r>
              <w:rPr/>
              <w:t>Quantified volumetric risk &amp; helped trading desk with effective hedging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Houston, TX</w:t>
            </w:r>
          </w:p>
        </w:tc>
      </w:tr>
      <w:tr>
        <w:trPr/>
        <w:tc>
          <w:tcPr>
            <w:tcW w:w="2127" w:type="dxa"/>
            <w:tcBorders/>
          </w:tcPr>
          <w:p>
            <w:pPr>
              <w:pStyle w:val="Normal"/>
              <w:rPr/>
            </w:pPr>
            <w:r>
              <w:rPr/>
              <w:t>05/99-08/99</w:t>
            </w:r>
          </w:p>
        </w:tc>
        <w:tc>
          <w:tcPr>
            <w:tcW w:w="7650" w:type="dxa"/>
            <w:tcBorders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Lower Colorado River Authority (LCRA)</w:t>
            </w:r>
          </w:p>
          <w:p>
            <w:pPr>
              <w:pStyle w:val="Normal"/>
              <w:rPr/>
            </w:pPr>
            <w:r>
              <w:rPr>
                <w:i/>
              </w:rPr>
              <w:t xml:space="preserve">Financial Analyst, </w:t>
            </w:r>
            <w:r>
              <w:rPr>
                <w:b/>
                <w:bCs/>
                <w:i/>
                <w:iCs/>
              </w:rPr>
              <w:t>Energy Trading and Risk Management</w:t>
            </w:r>
            <w:r>
              <w:rPr/>
              <w:t xml:space="preserve"> (Intern)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Austin, TX</w:t>
            </w:r>
          </w:p>
        </w:tc>
      </w:tr>
      <w:tr>
        <w:trPr>
          <w:trHeight w:val="963" w:hRule="atLeast"/>
        </w:trPr>
        <w:tc>
          <w:tcPr>
            <w:tcW w:w="2127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650" w:type="dxa"/>
            <w:tcBorders/>
          </w:tcPr>
          <w:p>
            <w:pPr>
              <w:pStyle w:val="Normal"/>
              <w:numPr>
                <w:ilvl w:val="0"/>
                <w:numId w:val="4"/>
              </w:numPr>
              <w:rPr/>
            </w:pPr>
            <w:r>
              <w:rPr/>
              <w:t xml:space="preserve">Applied Monte Carlo simulation technique to develop swing option pricing program, cutting natural gas daily swing option bid price by 20%. </w:t>
            </w:r>
          </w:p>
          <w:p>
            <w:pPr>
              <w:pStyle w:val="Normal"/>
              <w:numPr>
                <w:ilvl w:val="0"/>
                <w:numId w:val="4"/>
              </w:numPr>
              <w:rPr/>
            </w:pPr>
            <w:r>
              <w:rPr/>
              <w:t>Priced embedded options in long-term coal purchasing contracts, specified the major terms that need adjusting and designed negotiation strategies for contract renewal.</w:t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ind w:start="177" w:end="0"/>
              <w:rPr/>
            </w:pPr>
            <w:r>
              <w:rPr/>
            </w:r>
          </w:p>
        </w:tc>
      </w:tr>
      <w:tr>
        <w:trPr>
          <w:trHeight w:val="198" w:hRule="exact"/>
        </w:trPr>
        <w:tc>
          <w:tcPr>
            <w:tcW w:w="2127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65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729" w:hRule="atLeast"/>
        </w:trPr>
        <w:tc>
          <w:tcPr>
            <w:tcW w:w="2127" w:type="dxa"/>
            <w:tcBorders/>
          </w:tcPr>
          <w:p>
            <w:pPr>
              <w:pStyle w:val="Normal"/>
              <w:rPr/>
            </w:pPr>
            <w:r>
              <w:rPr/>
              <w:t>03/93-06/98</w:t>
            </w:r>
          </w:p>
        </w:tc>
        <w:tc>
          <w:tcPr>
            <w:tcW w:w="7650" w:type="dxa"/>
            <w:tcBorders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China National Metals &amp; Minerals Import &amp; Export Corporation (MINMETALS)</w:t>
            </w:r>
          </w:p>
          <w:p>
            <w:pPr>
              <w:pStyle w:val="Normal"/>
              <w:rPr/>
            </w:pPr>
            <w:r>
              <w:rPr>
                <w:bCs/>
              </w:rPr>
              <w:t>(A major global metals &amp; minerals trading company)</w:t>
              <w:br/>
            </w:r>
            <w:r>
              <w:rPr>
                <w:bCs/>
                <w:i/>
                <w:iCs/>
              </w:rPr>
              <w:t>Manager</w:t>
            </w:r>
            <w:r>
              <w:rPr>
                <w:bCs/>
              </w:rPr>
              <w:t xml:space="preserve">, </w:t>
            </w:r>
            <w:r>
              <w:rPr>
                <w:b/>
              </w:rPr>
              <w:t>Trading and Risk Control</w:t>
            </w:r>
            <w:r>
              <w:rPr>
                <w:bCs/>
              </w:rPr>
              <w:t xml:space="preserve"> 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>
                <w:bCs/>
              </w:rPr>
            </w:pPr>
            <w:r>
              <w:rPr>
                <w:bCs/>
              </w:rPr>
              <w:t>Beijing, China</w:t>
            </w:r>
          </w:p>
        </w:tc>
      </w:tr>
      <w:tr>
        <w:trPr>
          <w:trHeight w:val="945" w:hRule="atLeast"/>
        </w:trPr>
        <w:tc>
          <w:tcPr>
            <w:tcW w:w="2127" w:type="dxa"/>
            <w:tcBorders/>
          </w:tcPr>
          <w:p>
            <w:pPr>
              <w:pStyle w:val="Normal"/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7650" w:type="dxa"/>
            <w:tcBorders/>
          </w:tcPr>
          <w:p>
            <w:pPr>
              <w:pStyle w:val="Normal"/>
              <w:numPr>
                <w:ilvl w:val="0"/>
                <w:numId w:val="2"/>
              </w:numPr>
              <w:rPr>
                <w:b/>
              </w:rPr>
            </w:pPr>
            <w:r>
              <w:rPr>
                <w:bCs/>
              </w:rPr>
              <w:t>Conducted trading &amp; hedging through London Metal Exchange and effectively controlled commodity price risk in time of wild price fluctuation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b/>
              </w:rPr>
            </w:pPr>
            <w:r>
              <w:rPr>
                <w:bCs/>
              </w:rPr>
              <w:t>Identified arbitrage opportunities between Shanghai Metal Exchange and London Metal Exchange, resulting in a profit of $3,000,000</w:t>
            </w:r>
          </w:p>
        </w:tc>
        <w:tc>
          <w:tcPr>
            <w:tcW w:w="1350" w:type="dxa"/>
            <w:tcBorders/>
          </w:tcPr>
          <w:p>
            <w:pPr>
              <w:pStyle w:val="Normal"/>
              <w:autoSpaceDE w:val="true"/>
              <w:snapToGrid w:val="false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autoSpaceDE w:val="true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autoSpaceDE w:val="true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07" w:hRule="exact"/>
        </w:trPr>
        <w:tc>
          <w:tcPr>
            <w:tcW w:w="2127" w:type="dxa"/>
            <w:tcBorders/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65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1440" w:hRule="atLeast"/>
        </w:trPr>
        <w:tc>
          <w:tcPr>
            <w:tcW w:w="2127" w:type="dxa"/>
            <w:tcBorders/>
          </w:tcPr>
          <w:p>
            <w:pPr>
              <w:pStyle w:val="Normal"/>
              <w:rPr>
                <w:caps/>
                <w:sz w:val="22"/>
              </w:rPr>
            </w:pPr>
            <w:r>
              <w:rPr>
                <w:b/>
                <w:caps/>
                <w:sz w:val="22"/>
              </w:rPr>
              <w:t>H</w:t>
            </w:r>
            <w:r>
              <w:rPr>
                <w:b/>
                <w:sz w:val="22"/>
              </w:rPr>
              <w:t>onors</w:t>
            </w:r>
            <w:r>
              <w:rPr>
                <w:b/>
                <w:caps/>
                <w:sz w:val="22"/>
              </w:rPr>
              <w:t xml:space="preserve"> &amp; A</w:t>
            </w:r>
            <w:r>
              <w:rPr>
                <w:b/>
                <w:sz w:val="22"/>
              </w:rPr>
              <w:t>ctivities</w:t>
            </w:r>
          </w:p>
        </w:tc>
        <w:tc>
          <w:tcPr>
            <w:tcW w:w="9000" w:type="dxa"/>
            <w:gridSpan w:val="2"/>
            <w:tcBorders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AIMR</w:t>
            </w:r>
          </w:p>
          <w:p>
            <w:pPr>
              <w:pStyle w:val="Heading1"/>
              <w:numPr>
                <w:ilvl w:val="0"/>
                <w:numId w:val="6"/>
              </w:numPr>
              <w:rPr/>
            </w:pPr>
            <w:r>
              <w:rPr>
                <w:b w:val="false"/>
                <w:bCs w:val="false"/>
              </w:rPr>
              <w:t>Passed CFA Level I Exam in June 2001</w:t>
            </w:r>
          </w:p>
          <w:p>
            <w:pPr>
              <w:pStyle w:val="Heading1"/>
              <w:ind w:hanging="0" w:start="0"/>
              <w:rPr/>
            </w:pPr>
            <w:r>
              <w:rPr/>
              <w:t>The University of Texas at Austin</w:t>
            </w:r>
          </w:p>
          <w:p>
            <w:pPr>
              <w:pStyle w:val="Normal"/>
              <w:numPr>
                <w:ilvl w:val="0"/>
                <w:numId w:val="6"/>
              </w:numPr>
              <w:rPr/>
            </w:pPr>
            <w:r>
              <w:rPr/>
              <w:t xml:space="preserve">Louis Richard Turbeville M.D. Endowed Presidential Scholarship </w:t>
            </w:r>
          </w:p>
          <w:p>
            <w:pPr>
              <w:pStyle w:val="Normal"/>
              <w:rPr>
                <w:sz w:val="2"/>
              </w:rPr>
            </w:pPr>
            <w:r>
              <w:rPr>
                <w:sz w:val="2"/>
              </w:rPr>
            </w:r>
          </w:p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 xml:space="preserve">China National Metals &amp; Minerals Import &amp; Export Corporation </w:t>
            </w:r>
          </w:p>
          <w:p>
            <w:pPr>
              <w:pStyle w:val="Normal"/>
              <w:numPr>
                <w:ilvl w:val="0"/>
                <w:numId w:val="6"/>
              </w:numPr>
              <w:rPr/>
            </w:pPr>
            <w:r>
              <w:rPr/>
              <w:t>Awarded China MINMETALS Group Excellent Division Manager in 1996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720" w:right="720" w:gutter="0" w:header="0" w:top="810" w:footer="0" w:bottom="720"/>
      <w:pgNumType w:fmt="decimal"/>
      <w:formProt w:val="false"/>
      <w:vAlign w:val="center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504"/>
        </w:tabs>
        <w:ind w:start="504" w:hanging="360"/>
      </w:pPr>
      <w:rPr>
        <w:rFonts w:ascii="Symbol" w:hAnsi="Symbol" w:cs="Symbol" w:hint="default"/>
        <w:sz w:val="18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504"/>
        </w:tabs>
        <w:ind w:start="504" w:hanging="360"/>
      </w:pPr>
      <w:rPr>
        <w:rFonts w:ascii="Symbol" w:hAnsi="Symbol" w:cs="Symbol" w:hint="default"/>
        <w:sz w:val="18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537"/>
        </w:tabs>
        <w:ind w:start="537" w:hanging="360"/>
      </w:pPr>
      <w:rPr>
        <w:rFonts w:ascii="Symbol" w:hAnsi="Symbol" w:cs="Symbol" w:hint="default"/>
        <w:sz w:val="18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504"/>
        </w:tabs>
        <w:ind w:start="504" w:hanging="360"/>
      </w:pPr>
      <w:rPr>
        <w:rFonts w:ascii="Symbol" w:hAnsi="Symbol" w:cs="Symbol" w:hint="default"/>
        <w:sz w:val="18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504"/>
        </w:tabs>
        <w:ind w:start="504" w:hanging="360"/>
      </w:pPr>
      <w:rPr>
        <w:rFonts w:ascii="Symbol" w:hAnsi="Symbol" w:cs="Symbol" w:hint="default"/>
        <w:sz w:val="18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504"/>
        </w:tabs>
        <w:ind w:start="504" w:hanging="360"/>
      </w:pPr>
      <w:rPr>
        <w:rFonts w:ascii="Symbol" w:hAnsi="Symbol" w:cs="Symbol" w:hint="default"/>
        <w:sz w:val="18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autoSpaceDE w:val="false"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i/>
      <w:iCs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both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b/>
      <w:sz w:val="24"/>
    </w:rPr>
  </w:style>
  <w:style w:type="character" w:styleId="WW8Num1z0">
    <w:name w:val="WW8Num1z0"/>
    <w:qFormat/>
    <w:rPr>
      <w:rFonts w:ascii="Symbol" w:hAnsi="Symbol" w:cs="Symbol"/>
      <w:sz w:val="18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  <w:sz w:val="18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  <w:sz w:val="18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  <w:sz w:val="18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  <w:sz w:val="18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  <w:sz w:val="18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  <w:sz w:val="18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10z0">
    <w:name w:val="WW8Num10z0"/>
    <w:qFormat/>
    <w:rPr>
      <w:rFonts w:ascii="Symbol" w:hAnsi="Symbol" w:cs="Symbol"/>
      <w:sz w:val="18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Symbol" w:hAnsi="Symbol" w:cs="Symbol"/>
      <w:sz w:val="18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2z0">
    <w:name w:val="WW8Num12z0"/>
    <w:qFormat/>
    <w:rPr>
      <w:rFonts w:ascii="Symbol" w:hAnsi="Symbol" w:cs="Symbol"/>
      <w:sz w:val="18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>
      <w:rFonts w:ascii="Symbol" w:hAnsi="Symbol" w:cs="Symbol"/>
      <w:sz w:val="18"/>
    </w:rPr>
  </w:style>
  <w:style w:type="character" w:styleId="WW8Num13z1">
    <w:name w:val="WW8Num13z1"/>
    <w:qFormat/>
    <w:rPr>
      <w:rFonts w:ascii="Courier New" w:hAnsi="Courier New" w:cs="Courier New"/>
    </w:rPr>
  </w:style>
  <w:style w:type="character" w:styleId="WW8Num13z2">
    <w:name w:val="WW8Num13z2"/>
    <w:qFormat/>
    <w:rPr>
      <w:rFonts w:ascii="Wingdings" w:hAnsi="Wingdings" w:cs="Wingdings"/>
    </w:rPr>
  </w:style>
  <w:style w:type="character" w:styleId="WW8Num13z3">
    <w:name w:val="WW8Num13z3"/>
    <w:qFormat/>
    <w:rPr>
      <w:rFonts w:ascii="Symbol" w:hAnsi="Symbol" w:cs="Symbol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4z1">
    <w:name w:val="WW8Num14z1"/>
    <w:qFormat/>
    <w:rPr>
      <w:rFonts w:ascii="Courier New" w:hAnsi="Courier New" w:cs="Courier New"/>
    </w:rPr>
  </w:style>
  <w:style w:type="character" w:styleId="WW8Num14z2">
    <w:name w:val="WW8Num14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100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2001-12-10T15:15:00Z</dcterms:created>
  <dc:creator>George Huan</dc:creator>
  <dc:description/>
  <dc:language>en-CA</dc:language>
  <cp:lastModifiedBy>Xiaojun George Huan</cp:lastModifiedBy>
  <cp:lastPrinted>2001-09-19T22:33:00Z</cp:lastPrinted>
  <dcterms:modified xsi:type="dcterms:W3CDTF">2001-12-12T20:28:00Z</dcterms:modified>
  <cp:revision>7</cp:revision>
  <dc:subject/>
  <dc:title>Resume</dc:title>
</cp:coreProperties>
</file>