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b/>
          <w:sz w:val="24"/>
        </w:rPr>
        <w:t>Xiaojun George Huan</w:t>
      </w:r>
      <w:r>
        <w:rPr>
          <w:sz w:val="24"/>
        </w:rPr>
        <w:br/>
      </w:r>
      <w:r>
        <w:rPr>
          <w:sz w:val="22"/>
        </w:rPr>
        <w:t>(713) 345-3698</w:t>
      </w:r>
    </w:p>
    <w:p>
      <w:pPr>
        <w:pStyle w:val="Normal"/>
        <w:jc w:val="center"/>
        <w:rPr>
          <w:color w:val="000000"/>
          <w:sz w:val="22"/>
        </w:rPr>
      </w:pPr>
      <w:hyperlink r:id="rId2">
        <w:r>
          <w:rPr>
            <w:rStyle w:val="Hyperlink"/>
          </w:rPr>
          <w:t>george.huan@enron.com</w:t>
        </w:r>
      </w:hyperlink>
    </w:p>
    <w:p>
      <w:pPr>
        <w:pStyle w:val="Normal"/>
        <w:jc w:val="center"/>
        <w:rPr>
          <w:color w:val="000000"/>
          <w:sz w:val="22"/>
        </w:rPr>
      </w:pPr>
      <w:r>
        <w:rPr>
          <w:color w:val="000000"/>
          <w:sz w:val="22"/>
        </w:rPr>
      </w:r>
    </w:p>
    <w:p>
      <w:pPr>
        <w:pStyle w:val="Normal"/>
        <w:rPr>
          <w:lang w:val="en-CA" w:eastAsia="en-CA"/>
        </w:rPr>
      </w:pPr>
      <w:r>
        <w:rPr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7010400" cy="0"/>
                <wp:effectExtent l="0" t="5080" r="0" b="508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2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9pt" to="551.95pt,2.9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tbl>
      <w:tblPr>
        <w:tblW w:w="11217" w:type="dxa"/>
        <w:jc w:val="start"/>
        <w:tblInd w:w="0" w:type="dxa"/>
        <w:tblLayout w:type="fixed"/>
        <w:tblCellMar>
          <w:top w:w="0" w:type="dxa"/>
          <w:start w:w="57" w:type="dxa"/>
          <w:bottom w:w="0" w:type="dxa"/>
          <w:end w:w="57" w:type="dxa"/>
        </w:tblCellMar>
      </w:tblPr>
      <w:tblGrid>
        <w:gridCol w:w="2127"/>
        <w:gridCol w:w="7650"/>
        <w:gridCol w:w="1440"/>
      </w:tblGrid>
      <w:tr>
        <w:trPr>
          <w:trHeight w:val="648" w:hRule="atLeast"/>
        </w:trPr>
        <w:tc>
          <w:tcPr>
            <w:tcW w:w="2127" w:type="dxa"/>
            <w:tcBorders/>
          </w:tcPr>
          <w:p>
            <w:pPr>
              <w:pStyle w:val="Heading1"/>
              <w:ind w:hanging="0" w:start="0"/>
              <w:rPr/>
            </w:pPr>
            <w:r>
              <w:rPr>
                <w:caps/>
              </w:rPr>
              <w:t>E</w:t>
            </w:r>
            <w:r>
              <w:rPr/>
              <w:t>ducation</w:t>
            </w:r>
          </w:p>
          <w:p>
            <w:pPr>
              <w:pStyle w:val="Normal"/>
              <w:rPr/>
            </w:pPr>
            <w:r>
              <w:rPr/>
              <w:t>05/00</w:t>
            </w:r>
          </w:p>
        </w:tc>
        <w:tc>
          <w:tcPr>
            <w:tcW w:w="7650" w:type="dxa"/>
            <w:tcBorders/>
          </w:tcPr>
          <w:p>
            <w:pPr>
              <w:pStyle w:val="Normal"/>
              <w:rPr/>
            </w:pPr>
            <w:r>
              <w:rPr>
                <w:b/>
              </w:rPr>
              <w:t>The University of Texas at Austin</w:t>
            </w:r>
            <w:r>
              <w:rPr/>
              <w:br/>
            </w:r>
            <w:r>
              <w:rPr>
                <w:i/>
              </w:rPr>
              <w:t>Master of Business Administration</w:t>
            </w:r>
            <w:r>
              <w:rPr/>
              <w:br/>
              <w:t xml:space="preserve">Concentration in Energy Finance. </w:t>
            </w:r>
          </w:p>
        </w:tc>
        <w:tc>
          <w:tcPr>
            <w:tcW w:w="144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Austin, TX</w:t>
            </w:r>
          </w:p>
        </w:tc>
      </w:tr>
      <w:tr>
        <w:trPr>
          <w:trHeight w:val="144" w:hRule="exact"/>
        </w:trPr>
        <w:tc>
          <w:tcPr>
            <w:tcW w:w="11217" w:type="dxa"/>
            <w:gridSpan w:val="3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127" w:type="dxa"/>
            <w:tcBorders/>
          </w:tcPr>
          <w:p>
            <w:pPr>
              <w:pStyle w:val="Normal"/>
              <w:rPr/>
            </w:pPr>
            <w:r>
              <w:rPr/>
              <w:t>01/93</w:t>
            </w:r>
          </w:p>
        </w:tc>
        <w:tc>
          <w:tcPr>
            <w:tcW w:w="765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Renmin University of China</w:t>
            </w:r>
          </w:p>
          <w:p>
            <w:pPr>
              <w:pStyle w:val="Heading2"/>
              <w:ind w:hanging="0" w:start="0"/>
              <w:rPr/>
            </w:pPr>
            <w:r>
              <w:rPr/>
              <w:t>Master of Arts in Economics (International Economics)</w:t>
            </w:r>
          </w:p>
        </w:tc>
        <w:tc>
          <w:tcPr>
            <w:tcW w:w="144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Beijing, China</w:t>
            </w:r>
          </w:p>
        </w:tc>
      </w:tr>
      <w:tr>
        <w:trPr>
          <w:trHeight w:val="144" w:hRule="exact"/>
        </w:trPr>
        <w:tc>
          <w:tcPr>
            <w:tcW w:w="2127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6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127" w:type="dxa"/>
            <w:tcBorders/>
          </w:tcPr>
          <w:p>
            <w:pPr>
              <w:pStyle w:val="Normal"/>
              <w:rPr/>
            </w:pPr>
            <w:r>
              <w:rPr/>
              <w:t>07/89</w:t>
            </w:r>
          </w:p>
        </w:tc>
        <w:tc>
          <w:tcPr>
            <w:tcW w:w="765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University of Science and Technology of China</w:t>
            </w:r>
          </w:p>
          <w:p>
            <w:pPr>
              <w:pStyle w:val="Heading2"/>
              <w:ind w:hanging="0" w:start="0"/>
              <w:rPr/>
            </w:pPr>
            <w:r>
              <w:rPr/>
              <w:t>Bachelor of Science in Modern Mechanics (Applied Physics)</w:t>
            </w:r>
          </w:p>
        </w:tc>
        <w:tc>
          <w:tcPr>
            <w:tcW w:w="144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Hefei, China</w:t>
            </w:r>
          </w:p>
        </w:tc>
      </w:tr>
      <w:tr>
        <w:trPr>
          <w:trHeight w:val="198" w:hRule="exact"/>
        </w:trPr>
        <w:tc>
          <w:tcPr>
            <w:tcW w:w="2127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6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250" w:hRule="exact"/>
        </w:trPr>
        <w:tc>
          <w:tcPr>
            <w:tcW w:w="2127" w:type="dxa"/>
            <w:tcBorders/>
          </w:tcPr>
          <w:p>
            <w:pPr>
              <w:pStyle w:val="Normal"/>
              <w:rPr/>
            </w:pPr>
            <w:r>
              <w:rPr>
                <w:b/>
                <w:caps/>
              </w:rPr>
              <w:t>E</w:t>
            </w:r>
            <w:r>
              <w:rPr>
                <w:b/>
              </w:rPr>
              <w:t>xperience</w:t>
            </w:r>
            <w:r>
              <w:rPr/>
              <w:t xml:space="preserve"> </w:t>
            </w:r>
          </w:p>
          <w:p>
            <w:pPr>
              <w:pStyle w:val="Normal"/>
              <w:rPr/>
            </w:pPr>
            <w:r>
              <w:rPr/>
              <w:t>02/01-</w:t>
            </w:r>
          </w:p>
        </w:tc>
        <w:tc>
          <w:tcPr>
            <w:tcW w:w="7650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Enron Wholesale Services</w:t>
            </w:r>
          </w:p>
          <w:p>
            <w:pPr>
              <w:pStyle w:val="Normal"/>
              <w:rPr/>
            </w:pPr>
            <w:r>
              <w:rPr>
                <w:i/>
                <w:iCs/>
              </w:rPr>
              <w:t>Associate</w:t>
            </w:r>
            <w:r>
              <w:rPr/>
              <w:t>,  Risk Management – Financial Trading Gas Options</w:t>
            </w:r>
          </w:p>
          <w:p>
            <w:pPr>
              <w:pStyle w:val="Normal"/>
              <w:rPr/>
            </w:pPr>
            <w:r>
              <w:rPr>
                <w:rFonts w:eastAsia="Wingdings" w:cs="Wingdings" w:ascii="Wingdings" w:hAnsi="Wingdings"/>
              </w:rPr>
              <w:sym w:font="Wingdings" w:char="f09f"/>
            </w:r>
            <w:r>
              <w:rPr/>
              <w:t xml:space="preserve">   </w:t>
            </w:r>
            <w:r>
              <w:rPr/>
              <w:t>Evaluate and mark-to-market exotic options and build risk analysis reports to help the option trader understand the different risk components in his portfolio</w:t>
            </w:r>
          </w:p>
          <w:p>
            <w:pPr>
              <w:pStyle w:val="Normal"/>
              <w:rPr/>
            </w:pPr>
            <w:r>
              <w:rPr>
                <w:rFonts w:eastAsia="Wingdings" w:cs="Wingdings" w:ascii="Wingdings" w:hAnsi="Wingdings"/>
              </w:rPr>
              <w:sym w:font="Wingdings" w:char="f09f"/>
            </w:r>
            <w:r>
              <w:rPr/>
              <w:t xml:space="preserve">   </w:t>
            </w:r>
            <w:r>
              <w:rPr/>
              <w:t xml:space="preserve">Coordinate between traders and IT support to develop software applications, which are used to report critical Gas Daily position and sensitivity information </w:t>
            </w:r>
          </w:p>
          <w:p>
            <w:pPr>
              <w:pStyle w:val="Normal"/>
              <w:rPr/>
            </w:pPr>
            <w:r>
              <w:rPr>
                <w:rFonts w:eastAsia="Wingdings" w:cs="Wingdings" w:ascii="Wingdings" w:hAnsi="Wingdings"/>
              </w:rPr>
              <w:sym w:font="Wingdings" w:char="f09f"/>
            </w:r>
            <w:r>
              <w:rPr/>
              <w:t xml:space="preserve">   </w:t>
            </w:r>
            <w:r>
              <w:rPr/>
              <w:t>Evaluate Gas Daily Peaker Options and identify optimal exercise strategy</w:t>
            </w:r>
          </w:p>
          <w:p>
            <w:pPr>
              <w:pStyle w:val="Normal"/>
              <w:rPr/>
            </w:pPr>
            <w:r>
              <w:rPr>
                <w:rFonts w:eastAsia="Wingdings" w:cs="Wingdings" w:ascii="Wingdings" w:hAnsi="Wingdings"/>
              </w:rPr>
              <w:sym w:font="Wingdings" w:char="f09f"/>
            </w:r>
            <w:r>
              <w:rPr/>
              <w:t xml:space="preserve">   </w:t>
            </w:r>
            <w:r>
              <w:rPr/>
              <w:t>Identify bottlenecks in daily process and develop two-dimension work flow chart, resulting in more efficient and accurate operation. 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44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Houston, TX</w:t>
            </w:r>
          </w:p>
        </w:tc>
      </w:tr>
      <w:tr>
        <w:trPr>
          <w:trHeight w:val="1170" w:hRule="exact"/>
        </w:trPr>
        <w:tc>
          <w:tcPr>
            <w:tcW w:w="2127" w:type="dxa"/>
            <w:tcBorders/>
          </w:tcPr>
          <w:p>
            <w:pPr>
              <w:pStyle w:val="Normal"/>
              <w:rPr/>
            </w:pPr>
            <w:r>
              <w:rPr/>
              <w:t>08/00-02/01</w:t>
            </w:r>
          </w:p>
        </w:tc>
        <w:tc>
          <w:tcPr>
            <w:tcW w:w="765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Enron Energy Services</w:t>
            </w:r>
          </w:p>
          <w:p>
            <w:pPr>
              <w:pStyle w:val="Normal"/>
              <w:rPr/>
            </w:pPr>
            <w:r>
              <w:rPr>
                <w:i/>
                <w:iCs/>
              </w:rPr>
              <w:t>Associate,</w:t>
            </w:r>
            <w:r>
              <w:rPr/>
              <w:t xml:space="preserve"> Power Commodity Risk Management</w:t>
            </w:r>
          </w:p>
          <w:p>
            <w:pPr>
              <w:pStyle w:val="Normal"/>
              <w:rPr/>
            </w:pPr>
            <w:r>
              <w:rPr>
                <w:rFonts w:eastAsia="Wingdings" w:cs="Wingdings" w:ascii="Wingdings" w:hAnsi="Wingdings"/>
              </w:rPr>
              <w:sym w:font="Wingdings" w:char="f09f"/>
            </w:r>
            <w:r>
              <w:rPr/>
              <w:t xml:space="preserve">   </w:t>
            </w:r>
            <w:r>
              <w:rPr/>
              <w:t>Priced long-term power transactions and identified embedded options</w:t>
            </w:r>
          </w:p>
          <w:p>
            <w:pPr>
              <w:pStyle w:val="Normal"/>
              <w:rPr/>
            </w:pPr>
            <w:r>
              <w:rPr>
                <w:rFonts w:eastAsia="Wingdings" w:cs="Wingdings" w:ascii="Wingdings" w:hAnsi="Wingdings"/>
              </w:rPr>
              <w:sym w:font="Wingdings" w:char="f09f"/>
            </w:r>
            <w:r>
              <w:rPr/>
              <w:t xml:space="preserve">   </w:t>
            </w:r>
            <w:r>
              <w:rPr/>
              <w:t>Quantified volumetric risk &amp; helped trading desk for effective hedging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44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Houston, TX</w:t>
            </w:r>
          </w:p>
        </w:tc>
      </w:tr>
      <w:tr>
        <w:trPr/>
        <w:tc>
          <w:tcPr>
            <w:tcW w:w="2127" w:type="dxa"/>
            <w:tcBorders/>
          </w:tcPr>
          <w:p>
            <w:pPr>
              <w:pStyle w:val="Normal"/>
              <w:rPr/>
            </w:pPr>
            <w:r>
              <w:rPr/>
              <w:t>05/99-08/99</w:t>
            </w:r>
          </w:p>
        </w:tc>
        <w:tc>
          <w:tcPr>
            <w:tcW w:w="765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Lower Colorado River Authority (LCRA)</w:t>
            </w:r>
          </w:p>
          <w:p>
            <w:pPr>
              <w:pStyle w:val="Normal"/>
              <w:rPr/>
            </w:pPr>
            <w:r>
              <w:rPr>
                <w:i/>
              </w:rPr>
              <w:t xml:space="preserve">Financial Analyst, </w:t>
            </w:r>
            <w:r>
              <w:rPr/>
              <w:t>Energy Trading and Risk Management (Intern)</w:t>
            </w:r>
          </w:p>
        </w:tc>
        <w:tc>
          <w:tcPr>
            <w:tcW w:w="144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Austin, TX</w:t>
            </w:r>
          </w:p>
        </w:tc>
      </w:tr>
      <w:tr>
        <w:trPr/>
        <w:tc>
          <w:tcPr>
            <w:tcW w:w="2127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90" w:type="dxa"/>
            <w:gridSpan w:val="2"/>
            <w:tcBorders/>
          </w:tcPr>
          <w:p>
            <w:pPr>
              <w:pStyle w:val="Normal"/>
              <w:ind w:hanging="270" w:start="303" w:end="0"/>
              <w:rPr/>
            </w:pPr>
            <w:r>
              <w:rPr>
                <w:rFonts w:eastAsia="Wingdings" w:cs="Wingdings" w:ascii="Wingdings" w:hAnsi="Wingdings"/>
              </w:rPr>
              <w:sym w:font="Wingdings" w:char="f09f"/>
            </w:r>
            <w:r>
              <w:rPr/>
              <w:t xml:space="preserve">    </w:t>
            </w:r>
            <w:r>
              <w:rPr/>
              <w:t xml:space="preserve">Applied simulation software to develop Gas Daily swing options pricing program, </w:t>
              <w:br/>
              <w:t>cutting natural gas daily swing option bid price by 20%</w:t>
            </w:r>
          </w:p>
          <w:p>
            <w:pPr>
              <w:pStyle w:val="Normal"/>
              <w:ind w:hanging="270" w:start="303" w:end="0"/>
              <w:rPr/>
            </w:pPr>
            <w:r>
              <w:rPr>
                <w:rFonts w:eastAsia="Wingdings" w:cs="Wingdings" w:ascii="Wingdings" w:hAnsi="Wingdings"/>
              </w:rPr>
              <w:sym w:font="Wingdings" w:char="f09f"/>
            </w:r>
            <w:r>
              <w:rPr/>
              <w:t xml:space="preserve">   </w:t>
            </w:r>
            <w:r>
              <w:rPr/>
              <w:t>Priced embedded options in long-term coal purchasing contracts, specified the major terms</w:t>
              <w:br/>
              <w:t>that need adjusting and designed negotiation strategies for contract renewal</w:t>
            </w:r>
          </w:p>
        </w:tc>
      </w:tr>
      <w:tr>
        <w:trPr>
          <w:trHeight w:val="207" w:hRule="exact"/>
        </w:trPr>
        <w:tc>
          <w:tcPr>
            <w:tcW w:w="2127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6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837" w:hRule="atLeast"/>
        </w:trPr>
        <w:tc>
          <w:tcPr>
            <w:tcW w:w="2127" w:type="dxa"/>
            <w:tcBorders/>
          </w:tcPr>
          <w:p>
            <w:pPr>
              <w:pStyle w:val="Normal"/>
              <w:rPr/>
            </w:pPr>
            <w:r>
              <w:rPr/>
              <w:t>03/93-06/98</w:t>
            </w:r>
          </w:p>
        </w:tc>
        <w:tc>
          <w:tcPr>
            <w:tcW w:w="765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China National Metals &amp; Minerals Import &amp; Export Corporation (MINMETALS)</w:t>
            </w:r>
          </w:p>
          <w:p>
            <w:pPr>
              <w:pStyle w:val="Normal"/>
              <w:spacing w:lineRule="auto" w:line="360"/>
              <w:rPr/>
            </w:pPr>
            <w:r>
              <w:rPr/>
              <w:t>(A major brokerage and trading company of metals and minerals in the world)</w:t>
            </w:r>
          </w:p>
          <w:p>
            <w:pPr>
              <w:pStyle w:val="Normal"/>
              <w:spacing w:lineRule="auto" w:line="360"/>
              <w:rPr/>
            </w:pPr>
            <w:r>
              <w:rPr>
                <w:i/>
              </w:rPr>
              <w:t>Division Manager</w:t>
            </w:r>
            <w:r>
              <w:rPr/>
              <w:t xml:space="preserve">, Trading and Risk Control Division </w:t>
            </w:r>
          </w:p>
        </w:tc>
        <w:tc>
          <w:tcPr>
            <w:tcW w:w="144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Beijing, China</w:t>
            </w:r>
          </w:p>
        </w:tc>
      </w:tr>
      <w:tr>
        <w:trPr>
          <w:trHeight w:val="1008" w:hRule="atLeast"/>
        </w:trPr>
        <w:tc>
          <w:tcPr>
            <w:tcW w:w="2127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90" w:type="dxa"/>
            <w:gridSpan w:val="2"/>
            <w:tcBorders/>
          </w:tcPr>
          <w:p>
            <w:pPr>
              <w:pStyle w:val="Normal"/>
              <w:ind w:hanging="270" w:start="303" w:end="0"/>
              <w:rPr/>
            </w:pPr>
            <w:r>
              <w:rPr>
                <w:rFonts w:eastAsia="Wingdings" w:cs="Wingdings" w:ascii="Wingdings" w:hAnsi="Wingdings"/>
              </w:rPr>
              <w:sym w:font="Wingdings" w:char="f09f"/>
            </w:r>
            <w:r>
              <w:rPr/>
              <w:t xml:space="preserve">   </w:t>
            </w:r>
            <w:r>
              <w:rPr/>
              <w:t xml:space="preserve">Conducted trading &amp; hedging through London Metal Exchange, which effectively </w:t>
              <w:br/>
              <w:t>controlled commodity price risk in time of wild price fluctuation</w:t>
            </w:r>
          </w:p>
          <w:p>
            <w:pPr>
              <w:pStyle w:val="Normal"/>
              <w:ind w:hanging="270" w:start="303" w:end="0"/>
              <w:rPr/>
            </w:pPr>
            <w:r>
              <w:rPr>
                <w:rFonts w:eastAsia="Wingdings" w:cs="Wingdings" w:ascii="Wingdings" w:hAnsi="Wingdings"/>
              </w:rPr>
              <w:sym w:font="Wingdings" w:char="f09f"/>
            </w:r>
            <w:r>
              <w:rPr/>
              <w:t xml:space="preserve">   </w:t>
            </w:r>
            <w:r>
              <w:rPr/>
              <w:t xml:space="preserve">Identified arbitrage opportunities between Shanghai Metal Exchange and London Metal </w:t>
              <w:br/>
              <w:t>Exchange which resulted in a profit of $3,000,000</w:t>
            </w:r>
          </w:p>
        </w:tc>
      </w:tr>
      <w:tr>
        <w:trPr>
          <w:trHeight w:val="180" w:hRule="exact"/>
        </w:trPr>
        <w:tc>
          <w:tcPr>
            <w:tcW w:w="2127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6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763" w:hRule="atLeast"/>
        </w:trPr>
        <w:tc>
          <w:tcPr>
            <w:tcW w:w="2127" w:type="dxa"/>
            <w:tcBorders/>
          </w:tcPr>
          <w:p>
            <w:pPr>
              <w:pStyle w:val="Normal"/>
              <w:rPr>
                <w:caps/>
              </w:rPr>
            </w:pPr>
            <w:r>
              <w:rPr>
                <w:b/>
                <w:caps/>
              </w:rPr>
              <w:t>H</w:t>
            </w:r>
            <w:r>
              <w:rPr>
                <w:b/>
              </w:rPr>
              <w:t>onors</w:t>
            </w:r>
            <w:r>
              <w:rPr>
                <w:b/>
                <w:caps/>
              </w:rPr>
              <w:t xml:space="preserve"> &amp; A</w:t>
            </w:r>
            <w:r>
              <w:rPr>
                <w:b/>
              </w:rPr>
              <w:t>ctivities</w:t>
            </w:r>
          </w:p>
        </w:tc>
        <w:tc>
          <w:tcPr>
            <w:tcW w:w="9090" w:type="dxa"/>
            <w:gridSpan w:val="2"/>
            <w:tcBorders/>
          </w:tcPr>
          <w:p>
            <w:pPr>
              <w:pStyle w:val="Heading1"/>
              <w:ind w:hanging="0" w:start="0"/>
              <w:jc w:val="both"/>
              <w:rPr/>
            </w:pPr>
            <w:r>
              <w:rPr/>
              <w:t>The University of Texas at Austin</w:t>
            </w:r>
          </w:p>
          <w:p>
            <w:pPr>
              <w:pStyle w:val="Heading1"/>
              <w:ind w:hanging="0" w:start="0"/>
              <w:jc w:val="both"/>
              <w:rPr/>
            </w:pPr>
            <w:r>
              <w:rPr>
                <w:rFonts w:eastAsia="Wingdings" w:cs="Wingdings" w:ascii="Wingdings" w:hAnsi="Wingdings"/>
              </w:rPr>
              <w:sym w:font="Wingdings" w:char="f09f"/>
            </w:r>
            <w:r>
              <w:rPr/>
              <w:t xml:space="preserve">   </w:t>
            </w:r>
            <w:r>
              <w:rPr>
                <w:b w:val="false"/>
              </w:rPr>
              <w:t xml:space="preserve">Louis Richard Turbeville M.D. Endowed Presidential Scholarship </w:t>
            </w:r>
          </w:p>
          <w:p>
            <w:pPr>
              <w:pStyle w:val="Heading1"/>
              <w:ind w:hanging="0" w:start="0"/>
              <w:jc w:val="both"/>
              <w:rPr/>
            </w:pPr>
            <w:r>
              <w:rPr>
                <w:rFonts w:eastAsia="Wingdings" w:cs="Wingdings" w:ascii="Wingdings" w:hAnsi="Wingdings"/>
              </w:rPr>
              <w:sym w:font="Wingdings" w:char="f09f"/>
            </w:r>
            <w:r>
              <w:rPr>
                <w:b w:val="false"/>
              </w:rPr>
              <w:t xml:space="preserve">   </w:t>
            </w:r>
            <w:r>
              <w:rPr>
                <w:b w:val="false"/>
              </w:rPr>
              <w:t>Graduate Finance Association and Information Management Association</w:t>
            </w:r>
          </w:p>
          <w:p>
            <w:pPr>
              <w:pStyle w:val="Heading1"/>
              <w:ind w:hanging="0" w:start="0"/>
              <w:jc w:val="both"/>
              <w:rPr/>
            </w:pPr>
            <w:r>
              <w:rPr/>
              <w:t xml:space="preserve">China National Metals &amp; Minerals Import &amp; Export Corporation </w:t>
            </w:r>
          </w:p>
          <w:p>
            <w:pPr>
              <w:pStyle w:val="Heading1"/>
              <w:ind w:hanging="0" w:start="0"/>
              <w:jc w:val="both"/>
              <w:rPr/>
            </w:pPr>
            <w:r>
              <w:rPr>
                <w:rFonts w:eastAsia="Wingdings" w:cs="Wingdings" w:ascii="Wingdings" w:hAnsi="Wingdings"/>
              </w:rPr>
              <w:sym w:font="Wingdings" w:char="f09f"/>
            </w:r>
            <w:r>
              <w:rPr/>
              <w:t xml:space="preserve">   </w:t>
            </w:r>
            <w:r>
              <w:rPr>
                <w:b w:val="false"/>
              </w:rPr>
              <w:t xml:space="preserve">Awarded China MINMETALS Group Excellent Division Manager in 1996. </w:t>
            </w:r>
          </w:p>
          <w:p>
            <w:pPr>
              <w:pStyle w:val="Heading1"/>
              <w:ind w:hanging="0" w:start="0"/>
              <w:jc w:val="both"/>
              <w:rPr/>
            </w:pPr>
            <w:r>
              <w:rPr>
                <w:rFonts w:eastAsia="Wingdings" w:cs="Wingdings" w:ascii="Wingdings" w:hAnsi="Wingdings"/>
              </w:rPr>
              <w:sym w:font="Wingdings" w:char="f09f"/>
            </w:r>
            <w:r>
              <w:rPr/>
              <w:t xml:space="preserve">   </w:t>
            </w:r>
            <w:r>
              <w:rPr>
                <w:b w:val="false"/>
              </w:rPr>
              <w:t xml:space="preserve">Attended business conferences in Europe, Middle East and South-east Asia. </w:t>
            </w:r>
          </w:p>
          <w:p>
            <w:pPr>
              <w:pStyle w:val="Heading1"/>
              <w:ind w:hanging="0" w:start="0"/>
              <w:jc w:val="both"/>
              <w:rPr/>
            </w:pPr>
            <w:r>
              <w:rPr/>
              <w:t>Renmin University of China</w:t>
            </w:r>
            <w:r>
              <w:rPr>
                <w:b w:val="false"/>
              </w:rPr>
              <w:t xml:space="preserve"> </w:t>
            </w:r>
          </w:p>
          <w:p>
            <w:pPr>
              <w:pStyle w:val="Heading1"/>
              <w:ind w:hanging="0" w:start="0"/>
              <w:rPr>
                <w:b w:val="false"/>
              </w:rPr>
            </w:pPr>
            <w:r>
              <w:rPr>
                <w:rFonts w:eastAsia="Wingdings" w:cs="Wingdings" w:ascii="Wingdings" w:hAnsi="Wingdings"/>
              </w:rPr>
              <w:sym w:font="Wingdings" w:char="f09f"/>
            </w:r>
            <w:r>
              <w:rPr/>
              <w:t xml:space="preserve">   </w:t>
            </w:r>
            <w:r>
              <w:rPr>
                <w:b w:val="false"/>
              </w:rPr>
              <w:t>Co-founder of Enterprise Culture Association</w:t>
            </w:r>
          </w:p>
          <w:p>
            <w:pPr>
              <w:pStyle w:val="Heading3"/>
              <w:ind w:hanging="0" w:start="0"/>
              <w:rPr/>
            </w:pPr>
            <w:r>
              <w:rPr/>
              <w:t>Ford Foundation</w:t>
            </w:r>
          </w:p>
          <w:p>
            <w:pPr>
              <w:pStyle w:val="Normal"/>
              <w:rPr/>
            </w:pPr>
            <w:r>
              <w:rPr>
                <w:rFonts w:eastAsia="Wingdings" w:cs="Wingdings" w:ascii="Wingdings" w:hAnsi="Wingdings"/>
              </w:rPr>
              <w:sym w:font="Wingdings" w:char="f09f"/>
            </w:r>
            <w:r>
              <w:rPr/>
              <w:t xml:space="preserve">   </w:t>
            </w:r>
            <w:r>
              <w:rPr/>
              <w:t xml:space="preserve">A US-China joint program on finance, sponsored by Ford Foundation and instructed </w:t>
              <w:br/>
              <w:t xml:space="preserve">     by American Professors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576" w:right="576" w:gutter="0" w:header="0" w:top="1170" w:footer="0" w:bottom="5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autoSpaceDE w:val="fals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both"/>
      <w:outlineLvl w:val="2"/>
    </w:pPr>
    <w:rPr>
      <w:b/>
      <w:bCs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george.huan@enron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2001-06-07T14:33:00Z</dcterms:created>
  <dc:creator>Paul A. Eno III</dc:creator>
  <dc:description/>
  <dc:language>en-CA</dc:language>
  <cp:lastModifiedBy>ghuan</cp:lastModifiedBy>
  <cp:lastPrinted>2001-03-14T16:46:00Z</cp:lastPrinted>
  <dcterms:modified xsi:type="dcterms:W3CDTF">2001-06-07T14:41:00Z</dcterms:modified>
  <cp:revision>4</cp:revision>
  <dc:subject/>
  <dc:title>PAUL A</dc:title>
</cp:coreProperties>
</file>