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spacing w:lineRule="atLeast" w:line="243"/>
        <w:jc w:val="center"/>
        <w:rPr>
          <w:sz w:val="20"/>
        </w:rPr>
      </w:pPr>
      <w:r>
        <w:rPr>
          <w:b/>
          <w:sz w:val="20"/>
        </w:rPr>
        <w:t>TERM SHEET</w:t>
      </w:r>
    </w:p>
    <w:p>
      <w:pPr>
        <w:pStyle w:val="Normal"/>
        <w:widowControl/>
        <w:spacing w:lineRule="atLeast" w:line="243"/>
        <w:jc w:val="both"/>
        <w:rPr>
          <w:sz w:val="20"/>
        </w:rPr>
      </w:pPr>
      <w:r>
        <w:rPr>
          <w:sz w:val="20"/>
        </w:rPr>
      </w:r>
    </w:p>
    <w:p>
      <w:pPr>
        <w:pStyle w:val="Normal"/>
        <w:widowControl/>
        <w:spacing w:lineRule="atLeast" w:line="243"/>
        <w:jc w:val="both"/>
        <w:rPr>
          <w:sz w:val="20"/>
        </w:rPr>
      </w:pPr>
      <w:r>
        <w:rPr>
          <w:sz w:val="20"/>
        </w:rPr>
        <w:tab/>
        <w:t>This Term Sheet sets forth the terms of a proposed transaction in which Vectren Energy Solutions, Inc. (Vectren) would purchase from Genscape, Inc. (the "Company") shares of Preferred Stock (“Preferred A Shares”).  Sterling Lapinski and Sean O’Leary (collectively the “Founders”) join in this Term Sheet for the sole purposes of Sections 2.02, 2.03 and 2.09.</w:t>
      </w:r>
    </w:p>
    <w:p>
      <w:pPr>
        <w:pStyle w:val="Normal"/>
        <w:widowControl/>
        <w:spacing w:lineRule="atLeast" w:line="243"/>
        <w:jc w:val="both"/>
        <w:rPr>
          <w:sz w:val="20"/>
        </w:rPr>
      </w:pPr>
      <w:r>
        <w:rPr>
          <w:sz w:val="20"/>
        </w:rPr>
      </w:r>
    </w:p>
    <w:p>
      <w:pPr>
        <w:pStyle w:val="Normal"/>
        <w:widowControl/>
        <w:spacing w:lineRule="atLeast" w:line="243"/>
        <w:jc w:val="both"/>
        <w:rPr>
          <w:sz w:val="20"/>
        </w:rPr>
      </w:pPr>
      <w:r>
        <w:rPr>
          <w:sz w:val="20"/>
        </w:rPr>
        <w:t>1.</w:t>
        <w:tab/>
      </w:r>
      <w:r>
        <w:rPr>
          <w:sz w:val="20"/>
          <w:u w:val="single"/>
        </w:rPr>
        <w:t>Terms of Investment</w:t>
      </w:r>
    </w:p>
    <w:p>
      <w:pPr>
        <w:pStyle w:val="Normal"/>
        <w:widowControl/>
        <w:spacing w:lineRule="atLeast" w:line="243"/>
        <w:jc w:val="both"/>
        <w:rPr>
          <w:sz w:val="20"/>
        </w:rPr>
      </w:pPr>
      <w:r>
        <w:rPr>
          <w:sz w:val="20"/>
        </w:rPr>
      </w:r>
    </w:p>
    <w:p>
      <w:pPr>
        <w:pStyle w:val="Normal"/>
        <w:widowControl/>
        <w:numPr>
          <w:ilvl w:val="1"/>
          <w:numId w:val="3"/>
        </w:numPr>
        <w:spacing w:lineRule="atLeast" w:line="243"/>
        <w:jc w:val="both"/>
        <w:rPr>
          <w:sz w:val="20"/>
        </w:rPr>
      </w:pPr>
      <w:r>
        <w:rPr>
          <w:i/>
          <w:sz w:val="20"/>
        </w:rPr>
        <w:t>Purchase Price.</w:t>
      </w:r>
      <w:r>
        <w:rPr>
          <w:sz w:val="20"/>
        </w:rPr>
        <w:t xml:space="preserve">  Price per share will be calculated to equal a $5.75 million pre-money valuation on a fully-diluted basis (including the share option pool contemplated by Section 1.10 below). The pre-investment and post-investment capitalization of the Company shall be as set forth on the attached capitalization table.</w:t>
      </w:r>
    </w:p>
    <w:p>
      <w:pPr>
        <w:pStyle w:val="Normal"/>
        <w:widowControl/>
        <w:tabs>
          <w:tab w:val="left" w:pos="720" w:leader="none"/>
        </w:tabs>
        <w:spacing w:lineRule="atLeast" w:line="243"/>
        <w:jc w:val="both"/>
        <w:rPr>
          <w:sz w:val="20"/>
        </w:rPr>
      </w:pPr>
      <w:r>
        <w:rPr>
          <w:sz w:val="20"/>
        </w:rPr>
      </w:r>
    </w:p>
    <w:p>
      <w:pPr>
        <w:pStyle w:val="Normal"/>
        <w:widowControl/>
        <w:numPr>
          <w:ilvl w:val="1"/>
          <w:numId w:val="3"/>
        </w:numPr>
        <w:spacing w:lineRule="atLeast" w:line="243"/>
        <w:jc w:val="both"/>
        <w:rPr>
          <w:sz w:val="20"/>
        </w:rPr>
      </w:pPr>
      <w:r>
        <w:rPr>
          <w:i/>
          <w:sz w:val="20"/>
        </w:rPr>
        <w:t>Amount of Financing:</w:t>
      </w:r>
      <w:r>
        <w:rPr>
          <w:sz w:val="20"/>
        </w:rPr>
        <w:t xml:space="preserve">  $3,000,000. Vectren along with investor(s) mutually acceptable to Vectren and the Company shall at the mutual agreement of Vectren and the Company purchase up to $3.0 million of Series A Preferred Shares prior to March 31, 2002 on terms agreeable to Vectren and the Company.  Vectren will be willing to consider funding up to half of a fully funded commitment.  Vectren will not fund any amounts prior to the execution of the commitments by the other investors.</w:t>
      </w:r>
    </w:p>
    <w:p>
      <w:pPr>
        <w:pStyle w:val="Normal"/>
        <w:widowControl/>
        <w:tabs>
          <w:tab w:val="left" w:pos="720" w:leader="none"/>
        </w:tabs>
        <w:spacing w:lineRule="atLeast" w:line="243"/>
        <w:jc w:val="both"/>
        <w:rPr>
          <w:sz w:val="20"/>
        </w:rPr>
      </w:pPr>
      <w:r>
        <w:rPr>
          <w:sz w:val="20"/>
        </w:rPr>
      </w:r>
    </w:p>
    <w:p>
      <w:pPr>
        <w:pStyle w:val="Normal"/>
        <w:widowControl/>
        <w:numPr>
          <w:ilvl w:val="1"/>
          <w:numId w:val="3"/>
        </w:numPr>
        <w:spacing w:lineRule="atLeast" w:line="243"/>
        <w:jc w:val="both"/>
        <w:rPr>
          <w:sz w:val="20"/>
        </w:rPr>
      </w:pPr>
      <w:r>
        <w:rPr>
          <w:i/>
          <w:sz w:val="20"/>
        </w:rPr>
        <w:t>Use of Proceeds.</w:t>
      </w:r>
      <w:r>
        <w:rPr>
          <w:sz w:val="20"/>
        </w:rPr>
        <w:t xml:space="preserve">  The Company shall use the proceeds of the investment for working capital and development.</w:t>
      </w:r>
    </w:p>
    <w:p>
      <w:pPr>
        <w:pStyle w:val="Normal"/>
        <w:widowControl/>
        <w:spacing w:lineRule="atLeast" w:line="243"/>
        <w:jc w:val="both"/>
        <w:rPr>
          <w:sz w:val="20"/>
        </w:rPr>
      </w:pPr>
      <w:r>
        <w:rPr>
          <w:sz w:val="20"/>
        </w:rPr>
      </w:r>
    </w:p>
    <w:p>
      <w:pPr>
        <w:pStyle w:val="Normal"/>
        <w:widowControl/>
        <w:spacing w:lineRule="atLeast" w:line="243"/>
        <w:jc w:val="both"/>
        <w:rPr>
          <w:sz w:val="20"/>
        </w:rPr>
      </w:pPr>
      <w:r>
        <w:rPr>
          <w:sz w:val="20"/>
        </w:rPr>
      </w:r>
    </w:p>
    <w:p>
      <w:pPr>
        <w:pStyle w:val="Normal"/>
        <w:widowControl/>
        <w:numPr>
          <w:ilvl w:val="1"/>
          <w:numId w:val="3"/>
        </w:numPr>
        <w:spacing w:lineRule="atLeast" w:line="243"/>
        <w:jc w:val="both"/>
        <w:rPr>
          <w:sz w:val="20"/>
        </w:rPr>
      </w:pPr>
      <w:r>
        <w:rPr>
          <w:sz w:val="20"/>
        </w:rPr>
        <w:t xml:space="preserve">Drawdown and Issuance of Preferred.  Investors will fund $1 million at the Closing and Company will issue 306.106 shares of Preferred to Investors.  Additional funds will be drawn down as determined by a majority of the Investor representatives on the Board (and a corresponding amount of Preferred issued to Investors) on a quarterly basis post-Closing provided that the Company meets its quarterly revenue and EBITDA financial projections.  Shares will be issued as funds are drawn down, but will have voting rights as if fully issued and fully converted.  </w:t>
      </w:r>
    </w:p>
    <w:p>
      <w:pPr>
        <w:pStyle w:val="Normal"/>
        <w:widowControl/>
        <w:spacing w:lineRule="atLeast" w:line="243"/>
        <w:jc w:val="both"/>
        <w:rPr>
          <w:sz w:val="20"/>
        </w:rPr>
      </w:pPr>
      <w:r>
        <w:rPr>
          <w:sz w:val="20"/>
        </w:rPr>
      </w:r>
    </w:p>
    <w:p>
      <w:pPr>
        <w:pStyle w:val="Normal"/>
        <w:widowControl/>
        <w:spacing w:lineRule="atLeast" w:line="243"/>
        <w:jc w:val="both"/>
        <w:rPr>
          <w:sz w:val="20"/>
        </w:rPr>
      </w:pPr>
      <w:r>
        <w:rPr>
          <w:sz w:val="20"/>
        </w:rPr>
      </w:r>
    </w:p>
    <w:p>
      <w:pPr>
        <w:pStyle w:val="Normal"/>
        <w:widowControl/>
        <w:numPr>
          <w:ilvl w:val="1"/>
          <w:numId w:val="3"/>
        </w:numPr>
        <w:spacing w:lineRule="atLeast" w:line="243"/>
        <w:jc w:val="both"/>
        <w:rPr>
          <w:sz w:val="20"/>
        </w:rPr>
      </w:pPr>
      <w:r>
        <w:rPr>
          <w:i/>
          <w:sz w:val="20"/>
        </w:rPr>
        <w:t>Right of First Offer and Preemptive Rights.</w:t>
      </w:r>
      <w:r>
        <w:rPr>
          <w:sz w:val="20"/>
        </w:rPr>
        <w:t xml:space="preserve"> Vectren shall have a right of first refusal to purchase their pro rata share (based on their relative ownership of shares of equity or convertible securities) of all future equity or convertible securities offered by the Company in any private offering other than securities issued to employees, directors or consultants pursuant to a share option plan approved by the Compensation Committee of the Board.  Vectren would not have the right to maintain its prorata ownership in the event of a business combination that does not require additional cash to be raised.  In the event of such combination Vectren should have the opportunity to purchase its prorata share.</w:t>
      </w:r>
    </w:p>
    <w:p>
      <w:pPr>
        <w:pStyle w:val="Normal"/>
        <w:widowControl/>
        <w:spacing w:lineRule="atLeast" w:line="243"/>
        <w:jc w:val="both"/>
        <w:rPr>
          <w:sz w:val="20"/>
        </w:rPr>
      </w:pPr>
      <w:r>
        <w:rPr>
          <w:sz w:val="20"/>
        </w:rPr>
      </w:r>
    </w:p>
    <w:p>
      <w:pPr>
        <w:pStyle w:val="Normal"/>
        <w:widowControl/>
        <w:numPr>
          <w:ilvl w:val="1"/>
          <w:numId w:val="3"/>
        </w:numPr>
        <w:spacing w:lineRule="atLeast" w:line="243"/>
        <w:jc w:val="both"/>
        <w:rPr>
          <w:sz w:val="20"/>
        </w:rPr>
      </w:pPr>
      <w:r>
        <w:rPr>
          <w:i/>
          <w:sz w:val="20"/>
        </w:rPr>
        <w:t>Redemption Rights.</w:t>
      </w:r>
      <w:r>
        <w:rPr>
          <w:sz w:val="20"/>
        </w:rPr>
        <w:t xml:space="preserve">  Vectren shall have the right to "put" their shares to the Company, at any time and from time to time, after five years from the closing and upon not less than 180 days prior notice given to the Company, for a price equal to the greater of (i) the initial purchase price of Vectren' shares plus an amount which, after receipt, the holders of Preferred A Shares shall have received an internal rate of return on the initial purchase price equal to 25%, calculated to the date of redemption and including payment of all dividends on the Preferred A Shares, or (ii) the fair market value per share as determined by a qualified, independent appraiser acceptable to both the Company and Vectren, or, if the Company and Vectren cannot agree on an appraiser, the average of the fair market value per share as determined by a qualified, independent appraiser selected by the Company and the fair market value per share as determined by a qualified, independent appraiser selected by Vectren.</w:t>
      </w:r>
    </w:p>
    <w:p>
      <w:pPr>
        <w:pStyle w:val="Normal"/>
        <w:widowControl/>
        <w:spacing w:lineRule="atLeast" w:line="243"/>
        <w:jc w:val="both"/>
        <w:rPr>
          <w:sz w:val="20"/>
        </w:rPr>
      </w:pPr>
      <w:r>
        <w:rPr>
          <w:sz w:val="20"/>
        </w:rPr>
      </w:r>
    </w:p>
    <w:p>
      <w:pPr>
        <w:pStyle w:val="Normal"/>
        <w:widowControl/>
        <w:numPr>
          <w:ilvl w:val="1"/>
          <w:numId w:val="3"/>
        </w:numPr>
        <w:spacing w:lineRule="atLeast" w:line="243"/>
        <w:jc w:val="both"/>
        <w:rPr>
          <w:sz w:val="20"/>
        </w:rPr>
      </w:pPr>
      <w:r>
        <w:rPr>
          <w:i/>
          <w:sz w:val="20"/>
        </w:rPr>
        <w:t>Registration Rights.</w:t>
      </w:r>
      <w:r>
        <w:rPr>
          <w:sz w:val="20"/>
        </w:rPr>
        <w:t xml:space="preserve">  Vectren shall have, at the Company's expense, (i) two demand rights at any time after six months from the Company's initial public offering of Common Stock, (ii) full "piggyback" rights to register their shares in any registration of the shares of the Company by the Company or its management, and (iii) four S-3 registration rights, provided that the Company shall not be obligated to effect more than two S-3 registrations in any twelve (12) month period.</w:t>
      </w:r>
    </w:p>
    <w:p>
      <w:pPr>
        <w:pStyle w:val="Normal"/>
        <w:widowControl/>
        <w:spacing w:lineRule="atLeast" w:line="243"/>
        <w:jc w:val="both"/>
        <w:rPr>
          <w:sz w:val="20"/>
        </w:rPr>
      </w:pPr>
      <w:r>
        <w:rPr>
          <w:sz w:val="20"/>
        </w:rPr>
      </w:r>
    </w:p>
    <w:p>
      <w:pPr>
        <w:pStyle w:val="Normal"/>
        <w:widowControl/>
        <w:numPr>
          <w:ilvl w:val="1"/>
          <w:numId w:val="3"/>
        </w:numPr>
        <w:spacing w:lineRule="atLeast" w:line="243"/>
        <w:jc w:val="both"/>
        <w:rPr>
          <w:sz w:val="20"/>
        </w:rPr>
      </w:pPr>
      <w:r>
        <w:rPr>
          <w:i/>
          <w:sz w:val="20"/>
        </w:rPr>
        <w:t>Standoff Provision.</w:t>
      </w:r>
      <w:r>
        <w:rPr>
          <w:sz w:val="20"/>
        </w:rPr>
        <w:t xml:space="preserve">  No holder of Preferred A Shares may sell any shares within 180 days of the effective date of the Company's initial public offering if all officers, holders of more than 1% of the Company's equity securities and directors are similarly bound, if so required by the Company's underwriters.</w:t>
      </w:r>
    </w:p>
    <w:p>
      <w:pPr>
        <w:pStyle w:val="Normal"/>
        <w:widowControl/>
        <w:spacing w:lineRule="atLeast" w:line="243"/>
        <w:jc w:val="both"/>
        <w:rPr>
          <w:sz w:val="20"/>
        </w:rPr>
      </w:pPr>
      <w:r>
        <w:rPr>
          <w:sz w:val="20"/>
        </w:rPr>
      </w:r>
    </w:p>
    <w:p>
      <w:pPr>
        <w:pStyle w:val="Normal"/>
        <w:widowControl/>
        <w:numPr>
          <w:ilvl w:val="1"/>
          <w:numId w:val="3"/>
        </w:numPr>
        <w:spacing w:lineRule="atLeast" w:line="243"/>
        <w:jc w:val="both"/>
        <w:rPr>
          <w:sz w:val="20"/>
        </w:rPr>
      </w:pPr>
      <w:r>
        <w:rPr>
          <w:i/>
          <w:sz w:val="20"/>
        </w:rPr>
        <w:t>Unlocking Provision</w:t>
      </w:r>
      <w:r>
        <w:rPr>
          <w:sz w:val="20"/>
        </w:rPr>
        <w:t>.  On or after thirty (30) months from the closing, Investors shall have the right to "unlock" their shares so that in the event that a bona fide offer is made by a third party to purchase the Company for cash or other liquid securities, and Vectren wish to accept this offer but the Company and/or the Founders do not, upon the request of Vectren, the Company shall, within ninety (90) days, either purchase Vectren' interests on the same terms and conditions as the bona fide offer or accept the offer.</w:t>
      </w:r>
    </w:p>
    <w:p>
      <w:pPr>
        <w:pStyle w:val="Normal"/>
        <w:widowControl/>
        <w:spacing w:lineRule="atLeast" w:line="243"/>
        <w:jc w:val="both"/>
        <w:rPr>
          <w:sz w:val="20"/>
        </w:rPr>
      </w:pPr>
      <w:r>
        <w:rPr>
          <w:sz w:val="20"/>
        </w:rPr>
      </w:r>
    </w:p>
    <w:p>
      <w:pPr>
        <w:pStyle w:val="Normal"/>
        <w:widowControl/>
        <w:numPr>
          <w:ilvl w:val="1"/>
          <w:numId w:val="3"/>
        </w:numPr>
        <w:spacing w:lineRule="atLeast" w:line="243"/>
        <w:jc w:val="both"/>
        <w:rPr>
          <w:sz w:val="20"/>
        </w:rPr>
      </w:pPr>
      <w:r>
        <w:rPr>
          <w:i/>
          <w:sz w:val="20"/>
        </w:rPr>
        <w:t>Share Option Pool</w:t>
      </w:r>
      <w:r>
        <w:rPr>
          <w:sz w:val="20"/>
        </w:rPr>
        <w:t>.  Contemporaneously with the transactions contemplated herein, the Company shall establish a share option pool consisting of 150.00 shares, which is equal to approximately 8.52% of the pre-money equity in the Company.</w:t>
      </w:r>
    </w:p>
    <w:p>
      <w:pPr>
        <w:pStyle w:val="Normal"/>
        <w:widowControl/>
        <w:spacing w:lineRule="atLeast" w:line="243"/>
        <w:jc w:val="both"/>
        <w:rPr>
          <w:sz w:val="20"/>
        </w:rPr>
      </w:pPr>
      <w:r>
        <w:rPr>
          <w:sz w:val="20"/>
        </w:rPr>
      </w:r>
    </w:p>
    <w:p>
      <w:pPr>
        <w:pStyle w:val="Normal"/>
        <w:widowControl/>
        <w:numPr>
          <w:ilvl w:val="1"/>
          <w:numId w:val="3"/>
        </w:numPr>
        <w:spacing w:lineRule="atLeast" w:line="243"/>
        <w:jc w:val="both"/>
        <w:rPr>
          <w:sz w:val="20"/>
        </w:rPr>
      </w:pPr>
      <w:r>
        <w:rPr>
          <w:i/>
          <w:sz w:val="20"/>
        </w:rPr>
        <w:t>Executive Bonus</w:t>
      </w:r>
      <w:r>
        <w:rPr>
          <w:sz w:val="20"/>
        </w:rPr>
        <w:t>.   Kenneth Berryman, David A. Doctor, Sterling Lapinski and Sean O’Leary shall be compensated in accordance with an executive program adopted by Genscape’s Board of Directors on May 10, 2001, provided that such compensation shall only be paid from cash received from Genscape customer license agreements surplus to Genscape’s approved budget prior to December 31, 2001 and approved by the Board Compensation Committee.  The approved budget will be specified and approved at the first official board meeting following the initial close.</w:t>
      </w:r>
    </w:p>
    <w:p>
      <w:pPr>
        <w:pStyle w:val="Normal"/>
        <w:widowControl/>
        <w:tabs>
          <w:tab w:val="left" w:pos="720" w:leader="none"/>
        </w:tabs>
        <w:spacing w:lineRule="atLeast" w:line="243"/>
        <w:jc w:val="both"/>
        <w:rPr>
          <w:sz w:val="20"/>
        </w:rPr>
      </w:pPr>
      <w:r>
        <w:rPr>
          <w:sz w:val="20"/>
        </w:rPr>
      </w:r>
    </w:p>
    <w:p>
      <w:pPr>
        <w:pStyle w:val="Normal"/>
        <w:widowControl/>
        <w:numPr>
          <w:ilvl w:val="1"/>
          <w:numId w:val="7"/>
        </w:numPr>
        <w:spacing w:lineRule="atLeast" w:line="243"/>
        <w:jc w:val="both"/>
        <w:rPr>
          <w:sz w:val="20"/>
        </w:rPr>
      </w:pPr>
      <w:r>
        <w:rPr>
          <w:i/>
          <w:sz w:val="20"/>
        </w:rPr>
        <w:t>Terms of Preferred A Shares</w:t>
      </w:r>
      <w:r>
        <w:rPr>
          <w:sz w:val="20"/>
        </w:rPr>
        <w:t>.</w:t>
        <w:tab/>
        <w:t>Each Preferred A Share shall accrue a cumulative dividend equal to 8% per annum of the purchase price per Preferred A Share compounded annually.  In the event of any liquidation or winding up of the Company or the sale of all or substantially all of the assets of the Company, the holders of the Preferred A Shares shall be entitled to receive, in preference to the holders of all other equity securities, an amount equal to (i) the original purchase price per Preferred A Share, plus (ii) all accrued but unpaid dividends, plus (iii) the aggregate amount that would be distributed in respect of the aggregate number of shares of the Company's Common Stock issuable upon conversion of all Preferred A Shares.  Each holder of Preferred A Shares shall have the right to convert their Preferred A Shares, plus any accrued and unpaid dividends, at any time, at the option of the holder, into shares of the Company's Common Stock.  The conversion price shall be one Preferred A Share for one share of Common Stock, subject to anti-dilution adjustment on a "full ratchet" basis, provided that accrued and unpaid dividends on the Preferred A Shares shall be paid in shares of the Company's Common Stock at the fair market value per share of Common Stock.  Upon the affirmative vote of the Preferred A Directors and upon a Qualified Public Offering, each Preferred A Share shall automatically be converted into Common Stock at the then conversion price.  Each holder of Preferred A Shares shall have the right to a number of votes equal to the number of shares of Common Stock issuable upon conversion of the Preferred A Shares held.  Except as provided in Section 2.01 below, the Preferred A Shares shall be entitled to vote with the Common Stock on all matters, and as specifically provided herein and as otherwise required by law.</w:t>
      </w:r>
    </w:p>
    <w:p>
      <w:pPr>
        <w:pStyle w:val="Normal"/>
        <w:widowControl/>
        <w:spacing w:lineRule="atLeast" w:line="243"/>
        <w:jc w:val="both"/>
        <w:rPr>
          <w:sz w:val="20"/>
        </w:rPr>
      </w:pPr>
      <w:r>
        <w:rPr>
          <w:sz w:val="20"/>
        </w:rPr>
      </w:r>
    </w:p>
    <w:p>
      <w:pPr>
        <w:pStyle w:val="Normal"/>
        <w:widowControl/>
        <w:spacing w:lineRule="atLeast" w:line="243"/>
        <w:jc w:val="both"/>
        <w:rPr>
          <w:sz w:val="20"/>
        </w:rPr>
      </w:pPr>
      <w:r>
        <w:rPr>
          <w:sz w:val="20"/>
        </w:rPr>
      </w:r>
    </w:p>
    <w:p>
      <w:pPr>
        <w:pStyle w:val="Normal"/>
        <w:keepNext w:val="true"/>
        <w:keepLines/>
        <w:widowControl/>
        <w:spacing w:lineRule="atLeast" w:line="243"/>
        <w:jc w:val="both"/>
        <w:rPr>
          <w:sz w:val="20"/>
        </w:rPr>
      </w:pPr>
      <w:r>
        <w:rPr>
          <w:sz w:val="20"/>
        </w:rPr>
        <w:t>2.</w:t>
        <w:tab/>
      </w:r>
      <w:r>
        <w:rPr>
          <w:sz w:val="20"/>
          <w:u w:val="single"/>
        </w:rPr>
        <w:t>Governance</w:t>
      </w:r>
    </w:p>
    <w:p>
      <w:pPr>
        <w:pStyle w:val="Normal"/>
        <w:keepNext w:val="true"/>
        <w:keepLines/>
        <w:widowControl/>
        <w:spacing w:lineRule="atLeast" w:line="243"/>
        <w:jc w:val="both"/>
        <w:rPr>
          <w:sz w:val="20"/>
        </w:rPr>
      </w:pPr>
      <w:r>
        <w:rPr>
          <w:sz w:val="20"/>
        </w:rPr>
      </w:r>
    </w:p>
    <w:p>
      <w:pPr>
        <w:pStyle w:val="Normal"/>
        <w:keepLines/>
        <w:widowControl/>
        <w:tabs>
          <w:tab w:val="left" w:pos="720" w:leader="none"/>
        </w:tabs>
        <w:spacing w:lineRule="atLeast" w:line="243"/>
        <w:ind w:hanging="720" w:start="720" w:end="0"/>
        <w:jc w:val="both"/>
        <w:rPr/>
      </w:pPr>
      <w:r>
        <w:rPr>
          <w:sz w:val="20"/>
        </w:rPr>
        <w:t>2.01</w:t>
        <w:tab/>
      </w:r>
      <w:r>
        <w:rPr>
          <w:i/>
          <w:sz w:val="20"/>
        </w:rPr>
        <w:t>Board of Directors.</w:t>
      </w:r>
      <w:r>
        <w:rPr>
          <w:sz w:val="20"/>
        </w:rPr>
        <w:t xml:space="preserve">  The Board of Directors of the Company shall be established with five  members that shall include two directors designated by the holders of Preferred A Shares (the "Preferred A Directors"), two directors designated by the holders of the Common Stock (the "Common Directors") and one director mutually satisfactory to the holders of the Preferred A Shares and the holders of the Common Stock. In addition to any members of the Board of Directors that are Vectren representatives, Vectren and the Company shall each have the right to have two observers attend all meetings of the Board. The Company will pay reasonable expenses incurred by each Director and observer in attending board meetings or other business of the Company. A Compensation Committee composed of the non-management directors shall determine management compensation, stock option and bonus awards.</w:t>
      </w:r>
    </w:p>
    <w:p>
      <w:pPr>
        <w:pStyle w:val="Normal"/>
        <w:widowControl/>
        <w:spacing w:lineRule="atLeast" w:line="243"/>
        <w:jc w:val="both"/>
        <w:rPr>
          <w:sz w:val="20"/>
        </w:rPr>
      </w:pPr>
      <w:r>
        <w:rPr>
          <w:sz w:val="20"/>
        </w:rPr>
      </w:r>
    </w:p>
    <w:p>
      <w:pPr>
        <w:pStyle w:val="Normal"/>
        <w:widowControl/>
        <w:numPr>
          <w:ilvl w:val="1"/>
          <w:numId w:val="4"/>
        </w:numPr>
        <w:spacing w:lineRule="atLeast" w:line="243"/>
        <w:jc w:val="both"/>
        <w:rPr>
          <w:sz w:val="20"/>
        </w:rPr>
      </w:pPr>
      <w:r>
        <w:rPr>
          <w:i/>
          <w:sz w:val="20"/>
        </w:rPr>
        <w:t>Co-Sale Agreements.</w:t>
      </w:r>
      <w:r>
        <w:rPr>
          <w:sz w:val="20"/>
        </w:rPr>
        <w:t xml:space="preserve">  Vectren and the Founders shall execute a Right of First Refusal and Co-Sale Agreement, which contains, with respect to the Founders’ shares, customary buy-sell covenants, restrictions and co-sale rights in favor of Vectren as well as other terms and conditions mutually agreeable to Company and Vectren.</w:t>
      </w:r>
    </w:p>
    <w:p>
      <w:pPr>
        <w:pStyle w:val="Normal"/>
        <w:widowControl/>
        <w:spacing w:lineRule="atLeast" w:line="243"/>
        <w:jc w:val="both"/>
        <w:rPr>
          <w:sz w:val="20"/>
        </w:rPr>
      </w:pPr>
      <w:r>
        <w:rPr>
          <w:sz w:val="20"/>
        </w:rPr>
      </w:r>
    </w:p>
    <w:p>
      <w:pPr>
        <w:pStyle w:val="Normal"/>
        <w:widowControl/>
        <w:numPr>
          <w:ilvl w:val="1"/>
          <w:numId w:val="4"/>
        </w:numPr>
        <w:spacing w:lineRule="atLeast" w:line="243"/>
        <w:jc w:val="both"/>
        <w:rPr>
          <w:sz w:val="20"/>
        </w:rPr>
      </w:pPr>
      <w:r>
        <w:rPr>
          <w:i/>
          <w:sz w:val="20"/>
        </w:rPr>
        <w:t>Share Restriction and Severance Agreements.</w:t>
      </w:r>
      <w:r>
        <w:rPr>
          <w:sz w:val="20"/>
        </w:rPr>
        <w:t xml:space="preserve">  The company and each of Sterling Lapinsky and Sean O’Leary shall execute a Share Restriction Agreement providing for immediate vesting of 50% of the shares owned by Mr. Lapinsky and Mr. O’Leary as of the closing and vesting of the remaining 50% of the shares owned by them monthly over a one year period commencing on the closing.  Notwithstanding the foregoing, any unvested shares shall immediately vest upon a change of control of the Company prior to the first anniversary of the closing.  The Company and each of Sterling Lapinsky, Sean O’Leary, David Doctor and Ken Berryman shall execute a severance agreement providing for the payment of base pay for three months after an involuntary termination of employment.  In addition, if the employment of Ken Berryman is terminated for any reason on or before the third anniversary of his initial date of employment by the Company, then not less than 3% of the issued and outstanding Common Stock of the Company (including as issued and outstanding for such purposes the restricted shares of Common Stock held by Ken Berryman and David Doctor), shall be forfeited by Messrs. Lapinsky, O’Leary, Doctor and Berryman to the Company at no or nominal cost to the Company and if the employment of David Doctor is terminated for any reason on or before the third anniversary of his initial date of employment by the Company, then not less than 7% of such issued and outstanding Common Stock shall be forfeited to the Company by Messrs. Lapinsky, O’Leary, Doctor and Berryman at no or nominal cost to the Company.  The forfeiture of the Common Stock by the persons listed above and contemplated by the preceding sentence shall be accomplished in such manner and by such means as the Company, the Founders, Ken Berryman and David Doctor shall determine (which determination shall be made and disclosed to Investors prior to closing).</w:t>
      </w:r>
    </w:p>
    <w:p>
      <w:pPr>
        <w:pStyle w:val="Normal"/>
        <w:widowControl/>
        <w:spacing w:lineRule="atLeast" w:line="243"/>
        <w:jc w:val="both"/>
        <w:rPr>
          <w:sz w:val="20"/>
        </w:rPr>
      </w:pPr>
      <w:r>
        <w:rPr>
          <w:sz w:val="20"/>
        </w:rPr>
      </w:r>
    </w:p>
    <w:p>
      <w:pPr>
        <w:pStyle w:val="Normal"/>
        <w:widowControl/>
        <w:tabs>
          <w:tab w:val="left" w:pos="720" w:leader="none"/>
        </w:tabs>
        <w:spacing w:lineRule="atLeast" w:line="243"/>
        <w:ind w:hanging="720" w:start="720" w:end="0"/>
        <w:jc w:val="both"/>
        <w:rPr/>
      </w:pPr>
      <w:r>
        <w:rPr>
          <w:sz w:val="20"/>
        </w:rPr>
        <w:t>2.04</w:t>
        <w:tab/>
      </w:r>
      <w:r>
        <w:rPr>
          <w:i/>
          <w:sz w:val="20"/>
        </w:rPr>
        <w:t>Reporting Requirements.</w:t>
      </w:r>
      <w:r>
        <w:rPr>
          <w:sz w:val="20"/>
        </w:rPr>
        <w:t xml:space="preserve">  The Company shall provide standard financial reports to Vectren, including monthly and year-to-date income, balance sheet and cash flow statements as compared to budget, and shall provide a written one- or two-page summary of operations each month.  No later than thirty (30) days before the end of each fiscal year, the Company shall provide a business plan and projections for the next fiscal year.  An annual audit of the Company's financial statements shall be performed by a "big five" or other accounting firm acceptable to Vectren.</w:t>
      </w:r>
    </w:p>
    <w:p>
      <w:pPr>
        <w:pStyle w:val="Normal"/>
        <w:widowControl/>
        <w:spacing w:lineRule="atLeast" w:line="243"/>
        <w:jc w:val="both"/>
        <w:rPr>
          <w:sz w:val="20"/>
        </w:rPr>
      </w:pPr>
      <w:r>
        <w:rPr>
          <w:sz w:val="20"/>
        </w:rPr>
      </w:r>
    </w:p>
    <w:p>
      <w:pPr>
        <w:pStyle w:val="Normal"/>
        <w:widowControl/>
        <w:numPr>
          <w:ilvl w:val="1"/>
          <w:numId w:val="5"/>
        </w:numPr>
        <w:spacing w:lineRule="atLeast" w:line="243"/>
        <w:jc w:val="both"/>
        <w:rPr>
          <w:sz w:val="20"/>
        </w:rPr>
      </w:pPr>
      <w:r>
        <w:rPr>
          <w:i/>
          <w:sz w:val="20"/>
        </w:rPr>
        <w:t>Restrictive Covenants.</w:t>
      </w:r>
      <w:r>
        <w:rPr>
          <w:sz w:val="20"/>
        </w:rPr>
        <w:t xml:space="preserve"> The Company may not, without the consent of the Preferred A Directors (or the holders of a majority of the Preferred A Shares): (i) issue any class or series of equity securities or additional shares of existing classes or series; (ii) repurchase or redeem any equity securities of the Company except as provided for or contemplated herein; (iii) effect a transaction resulting in a change of control; (iv) liquidate, dissolve or materially change the nature of the Company's business; (v) effect a merger or sale of the Company or sell substantially all of its assets; (vi) amend or waive any provisions of the Company's Certificate of Incorporation or Bylaws, except to amend the same to authorize the Preferred A Shares; (vii) take any action that results in a transaction with affiliates; (viii) incur any obligations for borrowed money or leases of more than $1,000,000, taken together per year; (ix) approve the Company's annual operating budget; (x) increase the authorized size of the Company’s Board; (xi) take any action that would materially adversely affect the Preferred A Shares, which determination shall be made by the investors in its reasonable judgement;  (xii) dispose of the proceeds of any of the life insurance policies required by Section 2.07 hereof; nor (xiii) agree to do any of the foregoing.  Notwithstanding the foregoing, the consent of the holders of the Preferred A Shares shall not be required for the Company to effect a Qualified Public Offering approved by the Board of Directors of the Company. In addition, the Board of Directors of the Company shall select any underwriter of an initial public offering of the Company's stock.</w:t>
      </w:r>
    </w:p>
    <w:p>
      <w:pPr>
        <w:pStyle w:val="Normal"/>
        <w:widowControl/>
        <w:spacing w:lineRule="atLeast" w:line="243"/>
        <w:jc w:val="both"/>
        <w:rPr>
          <w:sz w:val="20"/>
        </w:rPr>
      </w:pPr>
      <w:r>
        <w:rPr>
          <w:sz w:val="20"/>
        </w:rPr>
      </w:r>
    </w:p>
    <w:p>
      <w:pPr>
        <w:pStyle w:val="Normal"/>
        <w:widowControl/>
        <w:numPr>
          <w:ilvl w:val="1"/>
          <w:numId w:val="5"/>
        </w:numPr>
        <w:spacing w:lineRule="atLeast" w:line="243"/>
        <w:jc w:val="both"/>
        <w:rPr>
          <w:sz w:val="20"/>
        </w:rPr>
      </w:pPr>
      <w:r>
        <w:rPr>
          <w:i/>
          <w:sz w:val="20"/>
        </w:rPr>
        <w:t>Noncompliance and Remedies.</w:t>
        <w:tab/>
      </w:r>
      <w:r>
        <w:rPr>
          <w:sz w:val="20"/>
        </w:rPr>
        <w:t>If the Company shall breach any covenant or fail to comply with any of the agreements entered into in connection with the closing, which breach or failure is not cured within sixty (60) days after written notice thereof shall have been given by an Investor to the Company, the holders of the Preferred A Shares shall have the right to elect a majority of the Board of Directors of the Company.</w:t>
      </w:r>
    </w:p>
    <w:p>
      <w:pPr>
        <w:pStyle w:val="Normal"/>
        <w:widowControl/>
        <w:tabs>
          <w:tab w:val="left" w:pos="720" w:leader="none"/>
        </w:tabs>
        <w:spacing w:lineRule="atLeast" w:line="243"/>
        <w:jc w:val="both"/>
        <w:rPr>
          <w:i/>
          <w:i/>
          <w:sz w:val="20"/>
        </w:rPr>
      </w:pPr>
      <w:r>
        <w:rPr>
          <w:i/>
          <w:sz w:val="20"/>
        </w:rPr>
      </w:r>
    </w:p>
    <w:p>
      <w:pPr>
        <w:pStyle w:val="Normal"/>
        <w:widowControl/>
        <w:numPr>
          <w:ilvl w:val="1"/>
          <w:numId w:val="5"/>
        </w:numPr>
        <w:spacing w:lineRule="atLeast" w:line="243"/>
        <w:jc w:val="both"/>
        <w:rPr>
          <w:sz w:val="20"/>
        </w:rPr>
      </w:pPr>
      <w:r>
        <w:rPr>
          <w:i/>
          <w:sz w:val="20"/>
        </w:rPr>
        <w:t>Key Person Insurance.</w:t>
      </w:r>
      <w:r>
        <w:rPr>
          <w:sz w:val="20"/>
        </w:rPr>
        <w:t xml:space="preserve">  The Company shall keep in effect key person life insurance of $2,000,000 on each of David Doctor and Sterling Lapinski, with proceeds payable to the Company.</w:t>
      </w:r>
    </w:p>
    <w:p>
      <w:pPr>
        <w:pStyle w:val="Normal"/>
        <w:widowControl/>
        <w:spacing w:lineRule="atLeast" w:line="243"/>
        <w:jc w:val="both"/>
        <w:rPr>
          <w:sz w:val="20"/>
        </w:rPr>
      </w:pPr>
      <w:r>
        <w:rPr>
          <w:sz w:val="20"/>
        </w:rPr>
      </w:r>
    </w:p>
    <w:p>
      <w:pPr>
        <w:pStyle w:val="Normal"/>
        <w:widowControl/>
        <w:numPr>
          <w:ilvl w:val="1"/>
          <w:numId w:val="5"/>
        </w:numPr>
        <w:spacing w:lineRule="atLeast" w:line="243"/>
        <w:jc w:val="both"/>
        <w:rPr>
          <w:sz w:val="20"/>
        </w:rPr>
      </w:pPr>
      <w:r>
        <w:rPr>
          <w:i/>
          <w:sz w:val="20"/>
        </w:rPr>
        <w:t>Director &amp; Officer Insurance</w:t>
      </w:r>
      <w:r>
        <w:rPr>
          <w:sz w:val="20"/>
        </w:rPr>
        <w:t>.  The Company shall secure and maintain Director and Officer insurance at price and terms mutually agreeable to the Company and Vectren.</w:t>
      </w:r>
    </w:p>
    <w:p>
      <w:pPr>
        <w:pStyle w:val="Normal"/>
        <w:widowControl/>
        <w:spacing w:lineRule="atLeast" w:line="243"/>
        <w:jc w:val="both"/>
        <w:rPr>
          <w:i/>
          <w:i/>
          <w:sz w:val="20"/>
        </w:rPr>
      </w:pPr>
      <w:r>
        <w:rPr>
          <w:i/>
          <w:sz w:val="20"/>
        </w:rPr>
      </w:r>
    </w:p>
    <w:p>
      <w:pPr>
        <w:pStyle w:val="Normal"/>
        <w:widowControl/>
        <w:numPr>
          <w:ilvl w:val="1"/>
          <w:numId w:val="5"/>
        </w:numPr>
        <w:spacing w:lineRule="atLeast" w:line="243"/>
        <w:jc w:val="both"/>
        <w:rPr>
          <w:sz w:val="20"/>
        </w:rPr>
      </w:pPr>
      <w:r>
        <w:rPr>
          <w:i/>
          <w:sz w:val="20"/>
        </w:rPr>
        <w:t>Confidentiality and Noncompetition Agreements.</w:t>
        <w:tab/>
      </w:r>
      <w:r>
        <w:rPr>
          <w:sz w:val="20"/>
        </w:rPr>
        <w:t>Each member of the Company's executive management shall sign a Confidentiality and Noncompetition Agreement in a form acceptable to Vectren and their counsel.</w:t>
      </w:r>
    </w:p>
    <w:p>
      <w:pPr>
        <w:pStyle w:val="Normal"/>
        <w:widowControl/>
        <w:spacing w:lineRule="atLeast" w:line="243"/>
        <w:jc w:val="both"/>
        <w:rPr>
          <w:sz w:val="20"/>
        </w:rPr>
      </w:pPr>
      <w:r>
        <w:rPr>
          <w:sz w:val="20"/>
        </w:rPr>
      </w:r>
    </w:p>
    <w:p>
      <w:pPr>
        <w:pStyle w:val="Normal"/>
        <w:widowControl/>
        <w:tabs>
          <w:tab w:val="left" w:pos="720" w:leader="none"/>
        </w:tabs>
        <w:spacing w:lineRule="atLeast" w:line="243"/>
        <w:ind w:hanging="720" w:start="720" w:end="0"/>
        <w:jc w:val="both"/>
        <w:rPr>
          <w:sz w:val="20"/>
        </w:rPr>
      </w:pPr>
      <w:r>
        <w:rPr>
          <w:sz w:val="20"/>
        </w:rPr>
        <w:t>3.</w:t>
        <w:tab/>
      </w:r>
      <w:r>
        <w:rPr>
          <w:sz w:val="20"/>
          <w:u w:val="single"/>
        </w:rPr>
        <w:t>Documentation, Expenses and Closing</w:t>
      </w:r>
    </w:p>
    <w:p>
      <w:pPr>
        <w:pStyle w:val="Normal"/>
        <w:widowControl/>
        <w:spacing w:lineRule="atLeast" w:line="243"/>
        <w:jc w:val="both"/>
        <w:rPr>
          <w:sz w:val="20"/>
        </w:rPr>
      </w:pPr>
      <w:r>
        <w:rPr>
          <w:sz w:val="20"/>
        </w:rPr>
      </w:r>
    </w:p>
    <w:p>
      <w:pPr>
        <w:pStyle w:val="Normal"/>
        <w:widowControl/>
        <w:tabs>
          <w:tab w:val="left" w:pos="720" w:leader="none"/>
          <w:tab w:val="left" w:pos="1440" w:leader="none"/>
          <w:tab w:val="left" w:pos="2880" w:leader="none"/>
          <w:tab w:val="left" w:pos="4500" w:leader="none"/>
        </w:tabs>
        <w:spacing w:lineRule="atLeast" w:line="243"/>
        <w:ind w:hanging="720" w:start="720" w:end="0"/>
        <w:jc w:val="both"/>
        <w:rPr/>
      </w:pPr>
      <w:r>
        <w:rPr>
          <w:sz w:val="20"/>
        </w:rPr>
        <w:t>3.01</w:t>
        <w:tab/>
      </w:r>
      <w:r>
        <w:rPr>
          <w:i/>
          <w:sz w:val="20"/>
        </w:rPr>
        <w:t>Purchase Agreement.</w:t>
      </w:r>
      <w:r>
        <w:rPr>
          <w:sz w:val="20"/>
        </w:rPr>
        <w:t xml:space="preserve">  The purchase of the Preferred A Shares will be made pursuant to a Purchase Agreement and related documentation, which shall contain, among other things, appropriate representations and warranties of the Company, covenants of the Company reflecting the provisions set forth herein and other typical covenants, and appropriate conditions of closing, including, among other things, the amending of the Company's Certificate of Incorporation to authorize the Preferred A Shares and delivering an opinion of Company counsel. This summary of terms does not constitute a contractual commitment of the Company or of Vectren, except that the Company and Vectren shall employ reasonable and diligent efforts to consummate the transaction described in this Term Sheet.</w:t>
        <w:tab/>
      </w:r>
    </w:p>
    <w:p>
      <w:pPr>
        <w:pStyle w:val="Normal"/>
        <w:widowControl/>
        <w:spacing w:lineRule="atLeast" w:line="243"/>
        <w:jc w:val="both"/>
        <w:rPr>
          <w:sz w:val="20"/>
        </w:rPr>
      </w:pPr>
      <w:r>
        <w:rPr>
          <w:sz w:val="20"/>
        </w:rPr>
      </w:r>
    </w:p>
    <w:p>
      <w:pPr>
        <w:pStyle w:val="Normal"/>
        <w:widowControl/>
        <w:spacing w:lineRule="atLeast" w:line="243"/>
        <w:jc w:val="both"/>
        <w:rPr>
          <w:sz w:val="20"/>
        </w:rPr>
      </w:pPr>
      <w:r>
        <w:rPr>
          <w:sz w:val="20"/>
        </w:rPr>
      </w:r>
    </w:p>
    <w:p>
      <w:pPr>
        <w:pStyle w:val="Normal"/>
        <w:widowControl/>
        <w:numPr>
          <w:ilvl w:val="1"/>
          <w:numId w:val="6"/>
        </w:numPr>
        <w:tabs>
          <w:tab w:val="left" w:pos="720" w:leader="none"/>
        </w:tabs>
        <w:spacing w:lineRule="atLeast" w:line="243"/>
        <w:ind w:hanging="720" w:start="720" w:end="0"/>
        <w:jc w:val="both"/>
        <w:rPr>
          <w:sz w:val="20"/>
        </w:rPr>
      </w:pPr>
      <w:r>
        <w:rPr>
          <w:i/>
          <w:sz w:val="20"/>
        </w:rPr>
        <w:t>Expenses.</w:t>
      </w:r>
      <w:r>
        <w:rPr>
          <w:sz w:val="20"/>
        </w:rPr>
        <w:t xml:space="preserve">  The Company will pay all reasonable legal, out-of-pocket and due diligence expenses incurred by the Investors in connection with this transaction up to $30,000.  Provided however, if the transaction does not close Investors will not be entitled to recovery of these expenses.</w:t>
      </w:r>
    </w:p>
    <w:p>
      <w:pPr>
        <w:pStyle w:val="Normal"/>
        <w:widowControl/>
        <w:spacing w:lineRule="atLeast" w:line="243"/>
        <w:jc w:val="both"/>
        <w:rPr>
          <w:sz w:val="20"/>
        </w:rPr>
      </w:pPr>
      <w:r>
        <w:rPr>
          <w:sz w:val="20"/>
        </w:rPr>
      </w:r>
    </w:p>
    <w:p>
      <w:pPr>
        <w:pStyle w:val="Normal"/>
        <w:widowControl/>
        <w:numPr>
          <w:ilvl w:val="1"/>
          <w:numId w:val="6"/>
        </w:numPr>
        <w:tabs>
          <w:tab w:val="left" w:pos="720" w:leader="none"/>
        </w:tabs>
        <w:spacing w:lineRule="atLeast" w:line="243"/>
        <w:ind w:hanging="720" w:start="720" w:end="0"/>
        <w:jc w:val="both"/>
        <w:rPr>
          <w:sz w:val="20"/>
        </w:rPr>
      </w:pPr>
      <w:r>
        <w:rPr>
          <w:i/>
          <w:sz w:val="20"/>
        </w:rPr>
        <w:t>Closing.</w:t>
      </w:r>
      <w:r>
        <w:rPr>
          <w:sz w:val="20"/>
        </w:rPr>
        <w:t xml:space="preserve">  Closing of the purchase of the Preferred A Shares shall occur on or before Thursday, September 27, 2001.</w:t>
      </w:r>
    </w:p>
    <w:p>
      <w:pPr>
        <w:pStyle w:val="Normal"/>
        <w:widowControl/>
        <w:tabs>
          <w:tab w:val="left" w:pos="720" w:leader="none"/>
        </w:tabs>
        <w:spacing w:lineRule="atLeast" w:line="243"/>
        <w:ind w:hanging="720" w:start="720" w:end="0"/>
        <w:jc w:val="both"/>
        <w:rPr>
          <w:i/>
          <w:i/>
          <w:sz w:val="20"/>
        </w:rPr>
      </w:pPr>
      <w:r>
        <w:rPr>
          <w:i/>
          <w:sz w:val="20"/>
        </w:rPr>
      </w:r>
    </w:p>
    <w:p>
      <w:pPr>
        <w:pStyle w:val="Normal"/>
        <w:widowControl/>
        <w:numPr>
          <w:ilvl w:val="1"/>
          <w:numId w:val="2"/>
        </w:numPr>
        <w:spacing w:lineRule="atLeast" w:line="243"/>
        <w:jc w:val="both"/>
        <w:rPr>
          <w:sz w:val="20"/>
        </w:rPr>
      </w:pPr>
      <w:r>
        <w:rPr>
          <w:i/>
          <w:sz w:val="20"/>
        </w:rPr>
        <w:t>Expiration.</w:t>
      </w:r>
      <w:r>
        <w:rPr>
          <w:sz w:val="20"/>
        </w:rPr>
        <w:t xml:space="preserve">  This proposal shall expire at 5:00 PM CDT on Friday, September 14, 2001.</w:t>
      </w:r>
    </w:p>
    <w:p>
      <w:pPr>
        <w:pStyle w:val="Normal"/>
        <w:widowControl/>
        <w:spacing w:lineRule="atLeast" w:line="243"/>
        <w:jc w:val="both"/>
        <w:rPr>
          <w:sz w:val="20"/>
        </w:rPr>
      </w:pPr>
      <w:r>
        <w:rPr>
          <w:sz w:val="20"/>
        </w:rPr>
      </w:r>
    </w:p>
    <w:p>
      <w:pPr>
        <w:pStyle w:val="Normal"/>
        <w:widowControl/>
        <w:spacing w:lineRule="atLeast" w:line="243"/>
        <w:jc w:val="both"/>
        <w:rPr>
          <w:sz w:val="20"/>
        </w:rPr>
      </w:pPr>
      <w:r>
        <w:rPr>
          <w:sz w:val="20"/>
        </w:rPr>
        <w:t xml:space="preserve">NOT WITHSTANDING ANYTHING IN THIS DOCUMENT TO THE CONTRARY, THE MATTERS COVERED HEREIN ARE MERELY AN INDICATION BY COMPANY AND VECTREN OF THEIR RESPECTIVE DESIRE AND INTEREST IN CONSUMMATING A BUSINESS TRANSACTIONS CONSISTENT WITH THE MATTERS DESCIBED ABOVE.  VECTREN SHALL HAVE NO OBLIGATIONS TO COMPANY UNLESS AND UNTIL IT EXECUTES A DEFINITIVE PURCHASE AGREEMENT FOR THE PREFERRED A SHARES.   The indications expressed herein shall expire on September 14, 2001.  </w:t>
      </w:r>
    </w:p>
    <w:p>
      <w:pPr>
        <w:pStyle w:val="Normal"/>
        <w:widowControl/>
        <w:spacing w:lineRule="atLeast" w:line="243"/>
        <w:jc w:val="both"/>
        <w:rPr>
          <w:sz w:val="20"/>
        </w:rPr>
      </w:pPr>
      <w:r>
        <w:rPr>
          <w:sz w:val="20"/>
        </w:rPr>
      </w:r>
    </w:p>
    <w:p>
      <w:pPr>
        <w:pStyle w:val="Normal"/>
        <w:widowControl/>
        <w:spacing w:lineRule="atLeast" w:line="243"/>
        <w:jc w:val="both"/>
        <w:rPr>
          <w:sz w:val="20"/>
        </w:rPr>
      </w:pPr>
      <w:r>
        <w:rPr>
          <w:i/>
          <w:sz w:val="20"/>
        </w:rPr>
        <w:t xml:space="preserve">The Company: </w:t>
      </w:r>
    </w:p>
    <w:p>
      <w:pPr>
        <w:pStyle w:val="Normal"/>
        <w:widowControl/>
        <w:spacing w:lineRule="atLeast" w:line="243"/>
        <w:jc w:val="both"/>
        <w:rPr>
          <w:sz w:val="20"/>
        </w:rPr>
      </w:pPr>
      <w:r>
        <w:rPr>
          <w:sz w:val="20"/>
        </w:rPr>
      </w:r>
    </w:p>
    <w:p>
      <w:pPr>
        <w:pStyle w:val="Normal"/>
        <w:widowControl/>
        <w:spacing w:lineRule="atLeast" w:line="243"/>
        <w:jc w:val="both"/>
        <w:rPr>
          <w:sz w:val="20"/>
        </w:rPr>
      </w:pPr>
      <w:r>
        <w:rPr>
          <w:sz w:val="20"/>
        </w:rPr>
        <w:t>Genscape, Inc.</w:t>
      </w:r>
    </w:p>
    <w:p>
      <w:pPr>
        <w:pStyle w:val="Normal"/>
        <w:widowControl/>
        <w:spacing w:lineRule="atLeast" w:line="243"/>
        <w:jc w:val="both"/>
        <w:rPr>
          <w:sz w:val="20"/>
        </w:rPr>
      </w:pPr>
      <w:r>
        <w:rPr>
          <w:sz w:val="20"/>
        </w:rPr>
      </w:r>
    </w:p>
    <w:p>
      <w:pPr>
        <w:pStyle w:val="Normal"/>
        <w:widowControl/>
        <w:spacing w:lineRule="atLeast" w:line="243"/>
        <w:jc w:val="both"/>
        <w:rPr>
          <w:sz w:val="20"/>
        </w:rPr>
      </w:pPr>
      <w:r>
        <w:rPr>
          <w:sz w:val="20"/>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s>
        <w:spacing w:lineRule="atLeast" w:line="243"/>
        <w:ind w:hanging="5040" w:start="5040" w:end="0"/>
        <w:jc w:val="both"/>
        <w:rPr>
          <w:sz w:val="20"/>
        </w:rPr>
      </w:pPr>
      <w:r>
        <w:rPr>
          <w:sz w:val="20"/>
        </w:rPr>
        <w:t xml:space="preserve">By: </w:t>
      </w:r>
      <w:r>
        <w:rPr>
          <w:sz w:val="20"/>
          <w:u w:val="single"/>
        </w:rPr>
        <w:tab/>
        <w:tab/>
        <w:tab/>
        <w:tab/>
        <w:tab/>
        <w:tab/>
      </w:r>
      <w:r>
        <w:rPr>
          <w:sz w:val="20"/>
        </w:rPr>
        <w:tab/>
        <w:t xml:space="preserve">Date: </w:t>
      </w:r>
      <w:r>
        <w:rPr>
          <w:sz w:val="20"/>
          <w:u w:val="single"/>
        </w:rPr>
        <w:tab/>
        <w:tab/>
        <w:tab/>
        <w:tab/>
        <w:tab/>
      </w:r>
    </w:p>
    <w:p>
      <w:pPr>
        <w:pStyle w:val="Normal"/>
        <w:widowControl/>
        <w:spacing w:lineRule="atLeast" w:line="243"/>
        <w:jc w:val="both"/>
        <w:rPr>
          <w:sz w:val="20"/>
        </w:rPr>
      </w:pPr>
      <w:r>
        <w:rPr>
          <w:sz w:val="20"/>
        </w:rPr>
        <w:t xml:space="preserve">       </w:t>
      </w:r>
      <w:r>
        <w:rPr>
          <w:sz w:val="20"/>
        </w:rPr>
        <w:t>David Doctor, Chief Executive Officer</w:t>
      </w:r>
    </w:p>
    <w:p>
      <w:pPr>
        <w:pStyle w:val="Normal"/>
        <w:widowControl/>
        <w:spacing w:lineRule="atLeast" w:line="243"/>
        <w:jc w:val="both"/>
        <w:rPr>
          <w:sz w:val="20"/>
        </w:rPr>
      </w:pPr>
      <w:r>
        <w:rPr>
          <w:sz w:val="20"/>
        </w:rPr>
      </w:r>
    </w:p>
    <w:p>
      <w:pPr>
        <w:pStyle w:val="Normal"/>
        <w:widowControl/>
        <w:spacing w:lineRule="atLeast" w:line="243"/>
        <w:jc w:val="both"/>
        <w:rPr>
          <w:i/>
          <w:i/>
          <w:sz w:val="20"/>
        </w:rPr>
      </w:pPr>
      <w:r>
        <w:rPr>
          <w:i/>
          <w:sz w:val="20"/>
        </w:rPr>
      </w:r>
    </w:p>
    <w:p>
      <w:pPr>
        <w:pStyle w:val="Normal"/>
        <w:widowControl/>
        <w:spacing w:lineRule="atLeast" w:line="243"/>
        <w:jc w:val="both"/>
        <w:rPr>
          <w:sz w:val="20"/>
        </w:rPr>
      </w:pPr>
      <w:r>
        <w:rPr>
          <w:i/>
          <w:sz w:val="20"/>
        </w:rPr>
        <w:t>The Founders:</w:t>
      </w:r>
    </w:p>
    <w:p>
      <w:pPr>
        <w:pStyle w:val="Normal"/>
        <w:widowControl/>
        <w:spacing w:lineRule="atLeast" w:line="243"/>
        <w:jc w:val="both"/>
        <w:rPr>
          <w:sz w:val="20"/>
        </w:rPr>
      </w:pPr>
      <w:r>
        <w:rPr>
          <w:sz w:val="20"/>
        </w:rPr>
      </w:r>
    </w:p>
    <w:p>
      <w:pPr>
        <w:pStyle w:val="Normal"/>
        <w:widowControl/>
        <w:spacing w:lineRule="atLeast" w:line="243"/>
        <w:jc w:val="both"/>
        <w:rPr>
          <w:sz w:val="20"/>
        </w:rPr>
      </w:pPr>
      <w:r>
        <w:rPr>
          <w:sz w:val="20"/>
        </w:rPr>
      </w:r>
    </w:p>
    <w:p>
      <w:pPr>
        <w:pStyle w:val="Normal"/>
        <w:widowControl/>
        <w:spacing w:lineRule="atLeast" w:line="243"/>
        <w:jc w:val="both"/>
        <w:rPr>
          <w:sz w:val="20"/>
        </w:rPr>
      </w:pPr>
      <w:r>
        <w:rPr>
          <w:sz w:val="20"/>
        </w:rPr>
        <w:t>_____________________________________</w:t>
        <w:tab/>
        <w:tab/>
        <w:t>Date:___________________________</w:t>
      </w:r>
    </w:p>
    <w:p>
      <w:pPr>
        <w:pStyle w:val="Normal"/>
        <w:widowControl/>
        <w:spacing w:lineRule="atLeast" w:line="243"/>
        <w:jc w:val="both"/>
        <w:rPr>
          <w:sz w:val="20"/>
        </w:rPr>
      </w:pPr>
      <w:r>
        <w:rPr>
          <w:sz w:val="20"/>
        </w:rPr>
        <w:t>Sterling Lapinski</w:t>
      </w:r>
    </w:p>
    <w:p>
      <w:pPr>
        <w:pStyle w:val="Normal"/>
        <w:widowControl/>
        <w:spacing w:lineRule="atLeast" w:line="243"/>
        <w:jc w:val="both"/>
        <w:rPr>
          <w:sz w:val="20"/>
        </w:rPr>
      </w:pPr>
      <w:r>
        <w:rPr>
          <w:sz w:val="20"/>
        </w:rPr>
      </w:r>
    </w:p>
    <w:p>
      <w:pPr>
        <w:pStyle w:val="Normal"/>
        <w:widowControl/>
        <w:spacing w:lineRule="atLeast" w:line="243"/>
        <w:jc w:val="both"/>
        <w:rPr>
          <w:sz w:val="20"/>
        </w:rPr>
      </w:pPr>
      <w:r>
        <w:rPr>
          <w:sz w:val="20"/>
        </w:rPr>
      </w:r>
    </w:p>
    <w:p>
      <w:pPr>
        <w:pStyle w:val="Normal"/>
        <w:widowControl/>
        <w:spacing w:lineRule="atLeast" w:line="243"/>
        <w:jc w:val="both"/>
        <w:rPr>
          <w:sz w:val="20"/>
        </w:rPr>
      </w:pPr>
      <w:r>
        <w:rPr>
          <w:sz w:val="20"/>
        </w:rPr>
        <w:t>_____________________________________</w:t>
        <w:tab/>
        <w:tab/>
        <w:t>Date:___________________________</w:t>
      </w:r>
    </w:p>
    <w:p>
      <w:pPr>
        <w:pStyle w:val="Normal"/>
        <w:widowControl/>
        <w:spacing w:lineRule="atLeast" w:line="243"/>
        <w:jc w:val="both"/>
        <w:rPr>
          <w:sz w:val="20"/>
        </w:rPr>
      </w:pPr>
      <w:r>
        <w:rPr>
          <w:sz w:val="20"/>
        </w:rPr>
        <w:t>Sean O’Leary</w:t>
      </w:r>
    </w:p>
    <w:p>
      <w:pPr>
        <w:pStyle w:val="Normal"/>
        <w:widowControl/>
        <w:spacing w:lineRule="atLeast" w:line="243"/>
        <w:jc w:val="both"/>
        <w:rPr>
          <w:sz w:val="20"/>
        </w:rPr>
      </w:pPr>
      <w:r>
        <w:rPr>
          <w:sz w:val="20"/>
        </w:rPr>
      </w:r>
    </w:p>
    <w:p>
      <w:pPr>
        <w:pStyle w:val="Normal"/>
        <w:widowControl/>
        <w:spacing w:lineRule="atLeast" w:line="243"/>
        <w:jc w:val="both"/>
        <w:rPr>
          <w:sz w:val="20"/>
        </w:rPr>
      </w:pPr>
      <w:r>
        <w:rPr>
          <w:sz w:val="20"/>
        </w:rPr>
      </w:r>
    </w:p>
    <w:p>
      <w:pPr>
        <w:pStyle w:val="Normal"/>
        <w:widowControl/>
        <w:spacing w:lineRule="atLeast" w:line="243"/>
        <w:jc w:val="both"/>
        <w:rPr>
          <w:i/>
          <w:i/>
          <w:sz w:val="20"/>
        </w:rPr>
      </w:pPr>
      <w:r>
        <w:rPr>
          <w:i/>
          <w:sz w:val="20"/>
        </w:rPr>
        <w:t>Vectren:</w:t>
      </w:r>
    </w:p>
    <w:p>
      <w:pPr>
        <w:pStyle w:val="Normal"/>
        <w:widowControl/>
        <w:spacing w:lineRule="atLeast" w:line="243"/>
        <w:jc w:val="both"/>
        <w:rPr>
          <w:i/>
          <w:i/>
          <w:sz w:val="20"/>
        </w:rPr>
      </w:pPr>
      <w:r>
        <w:rPr>
          <w:i/>
          <w:sz w:val="20"/>
        </w:rPr>
      </w:r>
    </w:p>
    <w:p>
      <w:pPr>
        <w:pStyle w:val="Normal"/>
        <w:widowControl/>
        <w:spacing w:lineRule="atLeast" w:line="243"/>
        <w:jc w:val="both"/>
        <w:rPr>
          <w:sz w:val="20"/>
        </w:rPr>
      </w:pPr>
      <w:r>
        <w:rPr>
          <w:sz w:val="20"/>
        </w:rPr>
        <w:t>Vectren Energy Solutions, Inc.</w:t>
      </w:r>
    </w:p>
    <w:p>
      <w:pPr>
        <w:pStyle w:val="Normal"/>
        <w:widowControl/>
        <w:spacing w:lineRule="atLeast" w:line="243"/>
        <w:jc w:val="both"/>
        <w:rPr>
          <w:sz w:val="20"/>
        </w:rPr>
      </w:pPr>
      <w:r>
        <w:rPr>
          <w:sz w:val="20"/>
        </w:rPr>
      </w:r>
    </w:p>
    <w:p>
      <w:pPr>
        <w:pStyle w:val="Normal"/>
        <w:widowControl/>
        <w:spacing w:lineRule="atLeast" w:line="243"/>
        <w:jc w:val="both"/>
        <w:rPr>
          <w:sz w:val="20"/>
        </w:rPr>
      </w:pPr>
      <w:r>
        <w:rPr>
          <w:sz w:val="20"/>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s>
        <w:spacing w:lineRule="atLeast" w:line="243"/>
        <w:ind w:hanging="5040" w:start="5040" w:end="0"/>
        <w:jc w:val="both"/>
        <w:rPr>
          <w:sz w:val="20"/>
        </w:rPr>
      </w:pPr>
      <w:r>
        <w:rPr>
          <w:sz w:val="20"/>
        </w:rPr>
        <w:t xml:space="preserve">By: </w:t>
      </w:r>
      <w:r>
        <w:rPr>
          <w:sz w:val="20"/>
          <w:u w:val="single"/>
        </w:rPr>
        <w:t>Jerrold L. Ulrey</w:t>
      </w:r>
      <w:r>
        <w:rPr>
          <w:sz w:val="20"/>
        </w:rPr>
        <w:tab/>
        <w:t xml:space="preserve">Date: </w:t>
      </w:r>
      <w:r>
        <w:rPr>
          <w:sz w:val="20"/>
          <w:u w:val="single"/>
        </w:rPr>
        <w:t>September 11, 2001</w:t>
      </w:r>
    </w:p>
    <w:p>
      <w:pPr>
        <w:pStyle w:val="Normal"/>
        <w:widowControl/>
        <w:spacing w:lineRule="atLeast" w:line="243"/>
        <w:jc w:val="both"/>
        <w:rPr>
          <w:sz w:val="20"/>
        </w:rPr>
      </w:pPr>
      <w:r>
        <w:rPr>
          <w:sz w:val="20"/>
        </w:rPr>
      </w:r>
    </w:p>
    <w:p>
      <w:pPr>
        <w:pStyle w:val="Normal"/>
        <w:widowControl/>
        <w:spacing w:lineRule="atLeast" w:line="243"/>
        <w:jc w:val="both"/>
        <w:rPr/>
      </w:pPr>
      <w:r>
        <w:rPr>
          <w:sz w:val="20"/>
        </w:rPr>
        <w:t xml:space="preserve">Title: </w:t>
      </w:r>
      <w:r>
        <w:rPr>
          <w:sz w:val="20"/>
          <w:u w:val="single"/>
        </w:rPr>
        <w:t>Vice President of Planning and Corporate Development</w:t>
      </w:r>
    </w:p>
    <w:p>
      <w:pPr>
        <w:pStyle w:val="Normal"/>
        <w:widowControl/>
        <w:spacing w:lineRule="atLeast" w:line="243"/>
        <w:jc w:val="both"/>
        <w:rPr>
          <w:sz w:val="20"/>
          <w:u w:val="single"/>
        </w:rPr>
      </w:pPr>
      <w:r>
        <w:rPr>
          <w:sz w:val="20"/>
          <w:u w:val="single"/>
        </w:rPr>
      </w:r>
    </w:p>
    <w:p>
      <w:pPr>
        <w:pStyle w:val="Normal"/>
        <w:widowControl/>
        <w:spacing w:lineRule="atLeast" w:line="243"/>
        <w:jc w:val="both"/>
        <w:rPr>
          <w:sz w:val="23"/>
          <w:u w:val="single"/>
        </w:rPr>
      </w:pPr>
      <w:r>
        <w:rPr>
          <w:sz w:val="23"/>
          <w:u w:val="single"/>
        </w:rPr>
      </w:r>
    </w:p>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jc w:val="end"/>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1.5pt;mso-position-horizontal:center;mso-position-horizontal-relative:margin">
              <v:fill opacity="0f"/>
              <v:textbox inset="0in,0in,0in,0in">
                <w:txbxContent>
                  <w:p>
                    <w:pPr>
                      <w:pStyle w:val="Footer"/>
                      <w:jc w:val="end"/>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3"/>
      <w:numFmt w:val="decimal"/>
      <w:lvlText w:val="%1"/>
      <w:lvlJc w:val="start"/>
      <w:pPr>
        <w:tabs>
          <w:tab w:val="num" w:pos="720"/>
        </w:tabs>
        <w:ind w:start="720" w:hanging="720"/>
      </w:pPr>
      <w:rPr/>
    </w:lvl>
    <w:lvl w:ilvl="1">
      <w:start w:val="5"/>
      <w:numFmt w:val="decimalZero"/>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3">
    <w:lvl w:ilvl="0">
      <w:start w:val="1"/>
      <w:numFmt w:val="decimal"/>
      <w:lvlText w:val="%1"/>
      <w:lvlJc w:val="start"/>
      <w:pPr>
        <w:tabs>
          <w:tab w:val="num" w:pos="720"/>
        </w:tabs>
        <w:ind w:start="720" w:hanging="720"/>
      </w:pPr>
      <w:rPr/>
    </w:lvl>
    <w:lvl w:ilvl="1">
      <w:start w:val="1"/>
      <w:numFmt w:val="decimalZero"/>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4">
    <w:lvl w:ilvl="0">
      <w:start w:val="2"/>
      <w:numFmt w:val="decimal"/>
      <w:lvlText w:val="%1"/>
      <w:lvlJc w:val="start"/>
      <w:pPr>
        <w:tabs>
          <w:tab w:val="num" w:pos="720"/>
        </w:tabs>
        <w:ind w:start="720" w:hanging="720"/>
      </w:pPr>
      <w:rPr/>
    </w:lvl>
    <w:lvl w:ilvl="1">
      <w:start w:val="2"/>
      <w:numFmt w:val="decimalZero"/>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720"/>
        </w:tabs>
        <w:ind w:start="720" w:hanging="72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080"/>
        </w:tabs>
        <w:ind w:start="1080" w:hanging="108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5">
    <w:lvl w:ilvl="0">
      <w:start w:val="2"/>
      <w:numFmt w:val="decimal"/>
      <w:lvlText w:val="%1"/>
      <w:lvlJc w:val="start"/>
      <w:pPr>
        <w:tabs>
          <w:tab w:val="num" w:pos="720"/>
        </w:tabs>
        <w:ind w:start="720" w:hanging="720"/>
      </w:pPr>
      <w:rPr/>
    </w:lvl>
    <w:lvl w:ilvl="1">
      <w:start w:val="5"/>
      <w:numFmt w:val="decimalZero"/>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6">
    <w:lvl w:ilvl="0">
      <w:start w:val="3"/>
      <w:numFmt w:val="decimal"/>
      <w:lvlText w:val="%1"/>
      <w:lvlJc w:val="start"/>
      <w:pPr>
        <w:tabs>
          <w:tab w:val="num" w:pos="360"/>
        </w:tabs>
        <w:ind w:start="360" w:hanging="360"/>
      </w:pPr>
      <w:rPr/>
    </w:lvl>
    <w:lvl w:ilvl="1">
      <w:start w:val="2"/>
      <w:numFmt w:val="decimalZero"/>
      <w:lvlText w:val="%1.%2"/>
      <w:lvlJc w:val="start"/>
      <w:pPr>
        <w:tabs>
          <w:tab w:val="num" w:pos="360"/>
        </w:tabs>
        <w:ind w:start="360" w:hanging="36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7">
    <w:lvl w:ilvl="0">
      <w:start w:val="1"/>
      <w:numFmt w:val="decimal"/>
      <w:lvlText w:val="%1"/>
      <w:lvlJc w:val="start"/>
      <w:pPr>
        <w:tabs>
          <w:tab w:val="num" w:pos="720"/>
        </w:tabs>
        <w:ind w:start="720" w:hanging="720"/>
      </w:pPr>
      <w:rPr/>
    </w:lvl>
    <w:lvl w:ilvl="1">
      <w:start w:val="12"/>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widowControl/>
      <w:numPr>
        <w:ilvl w:val="0"/>
        <w:numId w:val="1"/>
      </w:numPr>
      <w:spacing w:lineRule="atLeast" w:line="243"/>
      <w:jc w:val="end"/>
      <w:outlineLvl w:val="0"/>
    </w:pPr>
    <w:rPr>
      <w:b/>
      <w:sz w:val="23"/>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spacing w:lineRule="atLeast" w:line="243"/>
      <w:jc w:val="both"/>
    </w:pPr>
    <w:rPr>
      <w:sz w:val="23"/>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Normal"/>
    <w:pPr>
      <w:widowControl w:val="false"/>
      <w:tabs>
        <w:tab w:val="clear" w:pos="720"/>
        <w:tab w:val="right" w:pos="9360" w:leader="dot"/>
      </w:tabs>
      <w:suppressAutoHyphens w:val="true"/>
      <w:ind w:hanging="720" w:start="720" w:end="720"/>
    </w:pPr>
    <w:rPr>
      <w:spacing w:val="-3"/>
      <w:lang w:val="en-CA" w:eastAsia="en-CA"/>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0"/>
    </w:rPr>
  </w:style>
  <w:style w:type="paragraph" w:styleId="Header">
    <w:name w:val="header"/>
    <w:basedOn w:val="Normal"/>
    <w:pPr>
      <w:widowControl/>
      <w:tabs>
        <w:tab w:val="clear" w:pos="720"/>
        <w:tab w:val="center" w:pos="4320" w:leader="none"/>
        <w:tab w:val="right" w:pos="8640" w:leader="none"/>
      </w:tabs>
    </w:pPr>
    <w:rPr>
      <w:rFonts w:ascii="Times" w:hAnsi="Times" w:cs="Time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2001-09-11T20:28:00Z</dcterms:created>
  <dc:creator>Alice F. Suddreth</dc:creator>
  <dc:description/>
  <dc:language>en-CA</dc:language>
  <cp:lastModifiedBy>David Doctor</cp:lastModifiedBy>
  <cp:lastPrinted>2001-09-11T14:54:00Z</cp:lastPrinted>
  <dcterms:modified xsi:type="dcterms:W3CDTF">2001-09-11T20:28:00Z</dcterms:modified>
  <cp:revision>2</cp:revision>
  <dc:subject/>
  <dc:title>TERM SHEET</dc:title>
</cp:coreProperties>
</file>