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lang w:val="en-CA"/>
              </w:rPr>
              <w:drawing>
                <wp:inline distT="0" distB="0" distL="0" distR="0">
                  <wp:extent cx="868045" cy="8528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50" r="-50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/>
          </w:tcPr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sz w:val="18"/>
              </w:rPr>
            </w:pPr>
            <w:r>
              <w:rPr>
                <w:rFonts w:cs="Antique Olive" w:ascii="Antique Olive" w:hAnsi="Antique Olive"/>
                <w:sz w:val="18"/>
              </w:rPr>
              <w:t>Enron North America</w:t>
            </w:r>
          </w:p>
          <w:p>
            <w:pPr>
              <w:pStyle w:val="Normal"/>
              <w:rPr/>
            </w:pPr>
            <w:r>
              <w:rPr/>
              <w:t xml:space="preserve">                           </w:t>
            </w:r>
            <w:r>
              <w:rPr>
                <w:sz w:val="16"/>
              </w:rPr>
              <w:t>1400 Smith Street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           </w:t>
            </w:r>
            <w:r>
              <w:rPr>
                <w:sz w:val="16"/>
              </w:rPr>
              <w:t>Houston,TX 77002-7361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Times New Roman" w:hAnsi="Times New Roman" w:cs="Times New Roman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P.O. Box 1188</w:t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Houston, TX  77251-1188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Term Sheet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The purpose of this “Term Sheet” is to identify key commercial terms and conditions of a potential transaction entered into between Enron North America Corp. and [client].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Transaction Description</w:t>
      </w:r>
    </w:p>
    <w:p>
      <w:pPr>
        <w:pStyle w:val="Normal"/>
        <w:rPr>
          <w:sz w:val="22"/>
        </w:rPr>
      </w:pPr>
      <w:r>
        <w:rPr>
          <w:sz w:val="22"/>
        </w:rPr>
        <w:t xml:space="preserve">A U.S. Hot Rolled Steel financial swap transaction. In this Transaction the Fixed Price Payer (defined below) pays a fixed price per Calculation Period, and the Floating Price Payer (defined below) pays a floating price per Calculation Period.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General Terms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2000 U.S. Pounds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Total Notional Quantity: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Notional Quantity per Calculation Period: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Hot Rolled Steel Sheet (Midwest)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 Unit: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Ton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Trade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Effective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Termination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Calculation Period 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Each calendar month, with the first Calculation Period commencing on the Effective Date and the final Calculation ending on the Termination Date.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Payment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>
                <w:sz w:val="22"/>
              </w:rPr>
              <w:t>The fifth (5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>) Business Day after the Floating Price is determinable.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Fixed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[Client or Enron North America Corp.]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/>
            </w:pPr>
            <w:r>
              <w:rPr>
                <w:sz w:val="22"/>
              </w:rPr>
              <w:t>USD [To Be Determined]</w:t>
            </w:r>
            <w:r>
              <w:rPr/>
              <w:t xml:space="preserve"> per Ton</w:t>
            </w:r>
          </w:p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The Fixed Price multiplied by the Notional Quantity per Calculation Period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Floating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[Client or Enron North America Corp.]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The Floating Price for a Calculation Period shall be the price per Ton published under the heading “Transaction Prices”, “FERROUS METALS (truckload quantities, FOB producing mills”, ”Latest price”,  “Hot-rolled steel sheet (Midwest, $/ton)” in the first issue of </w:t>
            </w:r>
            <w:r>
              <w:rPr>
                <w:sz w:val="22"/>
                <w:u w:val="single"/>
              </w:rPr>
              <w:t>Purchasing Magazine</w:t>
            </w:r>
            <w:r>
              <w:rPr>
                <w:sz w:val="22"/>
              </w:rPr>
              <w:t xml:space="preserve"> or any successor publication, published by Purchasing Magazine or its successor (such publication, “Official Board Markets”) in the calendar month following such Calculation Period.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Floating Price multiplied by the Notional Quantity per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Pricing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Date of publication of the relevant Official Board Markets for the applicable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Fallback Reference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THIS DISCUSSION SHEET DOES NOT CREATE A BINDING AND ENFORCEABLE CONTRACT BETWEEN ANY PARTY NOR CONSTITUTE A COMMITMENT OR OFFER OR COMMITMENT TO ANY PARTY OR PARTIES, BUT RATHER CONTAINS INDICATIVE TERMS AND IS INTENDED FOR DISCUSSION PURPOSES ONLY.  NO PARTY IS OBLIGATED TO ENTER INTO A CONTRACT NOR PURSUE ANY NEGOTIATIONS IN RESPECT THEREOF.  ALL TERMS ARE SUBJECT TO CHANGE UNTIL AGREEMENT AS TO A SPECIFIC TRANSACTION HAS BEEN REACHED AND EXECUTION BY THE PARTIES OF WRITTEN DEFINITIVE DOCUMENTATION CONTAINING ALL APPROPRIATE PROVISIONS.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1440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DRAFT – FOR DISCUSSION PURPOSES ONLY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2000-10-23T23:54:00Z</dcterms:created>
  <dc:creator>ghermans</dc:creator>
  <dc:description/>
  <dc:language>en-CA</dc:language>
  <cp:lastModifiedBy>Andrew E. Wilson</cp:lastModifiedBy>
  <cp:lastPrinted>2000-04-20T08:55:00Z</cp:lastPrinted>
  <dcterms:modified xsi:type="dcterms:W3CDTF">2000-10-23T23:56:00Z</dcterms:modified>
  <cp:revision>3</cp:revision>
  <dc:subject/>
  <dc:title>April 19, 2000</dc:title>
</cp:coreProperties>
</file>