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Draft Term Sheet</w:t>
      </w:r>
    </w:p>
    <w:p>
      <w:pPr>
        <w:pStyle w:val="Heading1"/>
        <w:ind w:hanging="0" w:start="0"/>
        <w:rPr>
          <w:rFonts w:ascii="Arial" w:hAnsi="Arial" w:cs="Arial"/>
        </w:rPr>
      </w:pPr>
      <w:r>
        <w:rPr>
          <w:rFonts w:cs="Arial" w:ascii="Arial" w:hAnsi="Arial"/>
        </w:rPr>
        <w:t xml:space="preserve">To </w:t>
      </w:r>
    </w:p>
    <w:p>
      <w:pPr>
        <w:pStyle w:val="Heading1"/>
        <w:ind w:hanging="0" w:start="0"/>
        <w:rPr>
          <w:rFonts w:ascii="Arial" w:hAnsi="Arial" w:cs="Arial"/>
        </w:rPr>
      </w:pPr>
      <w:r>
        <w:rPr>
          <w:rFonts w:cs="Arial" w:ascii="Arial" w:hAnsi="Arial"/>
        </w:rPr>
        <w:t>XXX</w:t>
      </w:r>
    </w:p>
    <w:p>
      <w:pPr>
        <w:pStyle w:val="Heading1"/>
        <w:ind w:hanging="0" w:start="0"/>
        <w:rPr>
          <w:rFonts w:ascii="Arial" w:hAnsi="Arial" w:cs="Arial"/>
        </w:rPr>
      </w:pPr>
      <w:r>
        <w:rPr>
          <w:rFonts w:cs="Arial" w:ascii="Arial" w:hAnsi="Arial"/>
        </w:rPr>
        <w:t>By</w:t>
      </w:r>
    </w:p>
    <w:p>
      <w:pPr>
        <w:pStyle w:val="Heading1"/>
        <w:ind w:hanging="0" w:start="0"/>
        <w:rPr>
          <w:rFonts w:ascii="Arial" w:hAnsi="Arial" w:cs="Arial"/>
        </w:rPr>
      </w:pPr>
      <w:r>
        <w:rPr>
          <w:rFonts w:cs="Arial" w:ascii="Arial" w:hAnsi="Arial"/>
        </w:rPr>
        <w:t>Enron Power Marketing, Inc.</w:t>
      </w:r>
    </w:p>
    <w:p>
      <w:pPr>
        <w:pStyle w:val="Heading1"/>
        <w:ind w:hanging="0" w:start="0"/>
        <w:rPr>
          <w:rFonts w:ascii="Arial" w:hAnsi="Arial" w:cs="Arial"/>
        </w:rPr>
      </w:pPr>
      <w:r>
        <w:rPr>
          <w:rFonts w:cs="Arial" w:ascii="Arial" w:hAnsi="Arial"/>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ing1"/>
        <w:ind w:hanging="0" w:start="0"/>
        <w:rPr>
          <w:caps w:val="false"/>
          <w:smallCaps w:val="false"/>
          <w:sz w:val="22"/>
        </w:rPr>
      </w:pPr>
      <w:r>
        <w:rPr>
          <w:caps w:val="false"/>
          <w:smallCaps w:val="false"/>
          <w:sz w:val="22"/>
        </w:rPr>
      </w:r>
    </w:p>
    <w:p>
      <w:pPr>
        <w:pStyle w:val="Normal"/>
        <w:spacing w:lineRule="atLeast" w:line="240"/>
        <w:rPr>
          <w:rFonts w:ascii="Arial" w:hAnsi="Arial" w:cs="Arial"/>
          <w:b/>
          <w:smallCaps/>
          <w:color w:val="000000"/>
        </w:rPr>
      </w:pPr>
      <w:r>
        <w:rPr>
          <w:rFonts w:cs="Arial" w:ascii="Arial" w:hAnsi="Arial"/>
          <w:b/>
          <w:smallCaps/>
          <w:color w:val="000000"/>
        </w:rPr>
      </w:r>
    </w:p>
    <w:p>
      <w:pPr>
        <w:pStyle w:val="Normal"/>
        <w:spacing w:lineRule="atLeast" w:line="240"/>
        <w:rPr/>
      </w:pPr>
      <w:r>
        <w:rPr>
          <w:rFonts w:cs="Arial" w:ascii="Arial" w:hAnsi="Arial"/>
          <w:b/>
          <w:color w:val="000000"/>
        </w:rPr>
        <w:t>Seller:</w:t>
      </w:r>
      <w:r>
        <w:rPr>
          <w:rFonts w:cs="Arial" w:ascii="Arial" w:hAnsi="Arial"/>
          <w:color w:val="000000"/>
        </w:rPr>
        <w:tab/>
        <w:tab/>
        <w:tab/>
        <w:t>XXX</w:t>
      </w:r>
    </w:p>
    <w:p>
      <w:pPr>
        <w:pStyle w:val="Normal"/>
        <w:spacing w:lineRule="atLeast" w:line="240"/>
        <w:rPr>
          <w:rFonts w:ascii="Arial" w:hAnsi="Arial" w:cs="Arial"/>
          <w:color w:val="000000"/>
        </w:rPr>
      </w:pPr>
      <w:r>
        <w:rPr>
          <w:rFonts w:cs="Arial" w:ascii="Arial" w:hAnsi="Arial"/>
          <w:color w:val="000000"/>
        </w:rPr>
      </w:r>
    </w:p>
    <w:p>
      <w:pPr>
        <w:pStyle w:val="BodyTextIndent"/>
        <w:rPr/>
      </w:pPr>
      <w:r>
        <w:rPr>
          <w:b/>
        </w:rPr>
        <w:t>Buyer:</w:t>
      </w:r>
      <w:r>
        <w:rPr/>
        <w:tab/>
        <w:t>Enron Power Marketing, Inc. (“EPMI”)</w:t>
      </w:r>
    </w:p>
    <w:p>
      <w:pPr>
        <w:pStyle w:val="BodyTextIndent"/>
        <w:rPr/>
      </w:pPr>
      <w:r>
        <w:rPr/>
      </w:r>
    </w:p>
    <w:p>
      <w:pPr>
        <w:pStyle w:val="Normal"/>
        <w:spacing w:lineRule="atLeast" w:line="240"/>
        <w:rPr/>
      </w:pPr>
      <w:r>
        <w:rPr>
          <w:rFonts w:cs="Arial" w:ascii="Arial" w:hAnsi="Arial"/>
          <w:b/>
          <w:color w:val="000000"/>
        </w:rPr>
        <w:t>Commodity:</w:t>
      </w:r>
      <w:r>
        <w:rPr>
          <w:rFonts w:cs="Arial" w:ascii="Arial" w:hAnsi="Arial"/>
          <w:color w:val="000000"/>
        </w:rPr>
        <w:tab/>
        <w:tab/>
        <w:t xml:space="preserve">Capacity and Energy </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ind w:hanging="2160" w:start="2160" w:end="0"/>
        <w:rPr/>
      </w:pPr>
      <w:r>
        <w:rPr>
          <w:rFonts w:cs="Arial" w:ascii="Arial" w:hAnsi="Arial"/>
          <w:b/>
          <w:color w:val="000000"/>
        </w:rPr>
        <w:t>Firmness:</w:t>
        <w:tab/>
      </w:r>
      <w:r>
        <w:rPr>
          <w:rFonts w:cs="Arial" w:ascii="Arial" w:hAnsi="Arial"/>
          <w:color w:val="000000"/>
        </w:rPr>
        <w:t xml:space="preserve">Energy Interchange Classification Resource Type D (unit contingent)  </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ind w:hanging="2160" w:start="2160" w:end="0"/>
        <w:jc w:val="both"/>
        <w:rPr/>
      </w:pPr>
      <w:r>
        <w:rPr>
          <w:rFonts w:cs="Arial" w:ascii="Arial" w:hAnsi="Arial"/>
          <w:b/>
          <w:color w:val="000000"/>
        </w:rPr>
        <w:t>Capacity Source:</w:t>
        <w:tab/>
      </w:r>
      <w:r>
        <w:rPr>
          <w:rFonts w:cs="Arial" w:ascii="Arial" w:hAnsi="Arial"/>
          <w:color w:val="000000"/>
        </w:rPr>
        <w:t>Ingleside Cogeneration Plant (“Facility”)</w:t>
      </w:r>
    </w:p>
    <w:p>
      <w:pPr>
        <w:pStyle w:val="Normal"/>
        <w:spacing w:lineRule="atLeast" w:line="240"/>
        <w:ind w:hanging="2160" w:start="2160" w:end="0"/>
        <w:jc w:val="both"/>
        <w:rPr>
          <w:rFonts w:ascii="Arial" w:hAnsi="Arial" w:cs="Arial"/>
          <w:b/>
          <w:color w:val="000000"/>
        </w:rPr>
      </w:pPr>
      <w:r>
        <w:rPr>
          <w:rFonts w:cs="Arial" w:ascii="Arial" w:hAnsi="Arial"/>
          <w:b/>
          <w:color w:val="000000"/>
        </w:rPr>
      </w:r>
    </w:p>
    <w:p>
      <w:pPr>
        <w:pStyle w:val="Normal"/>
        <w:spacing w:lineRule="atLeast" w:line="240"/>
        <w:ind w:hanging="2160" w:start="2160" w:end="0"/>
        <w:jc w:val="both"/>
        <w:rPr/>
      </w:pPr>
      <w:r>
        <w:rPr>
          <w:rFonts w:cs="Arial" w:ascii="Arial" w:hAnsi="Arial"/>
          <w:b/>
          <w:color w:val="000000"/>
        </w:rPr>
        <w:t>Term:</w:t>
        <w:tab/>
      </w:r>
      <w:r>
        <w:rPr>
          <w:rFonts w:cs="Arial" w:ascii="Arial" w:hAnsi="Arial"/>
          <w:color w:val="000000"/>
        </w:rPr>
        <w:t xml:space="preserve">July 1, 2000 through August 31, 2000 </w:t>
      </w:r>
    </w:p>
    <w:p>
      <w:pPr>
        <w:pStyle w:val="Normal"/>
        <w:spacing w:lineRule="atLeast" w:line="240"/>
        <w:ind w:hanging="2160" w:start="2160" w:end="0"/>
        <w:jc w:val="both"/>
        <w:rPr>
          <w:rFonts w:ascii="Arial" w:hAnsi="Arial" w:cs="Arial"/>
          <w:b/>
          <w:color w:val="000000"/>
        </w:rPr>
      </w:pPr>
      <w:r>
        <w:rPr>
          <w:rFonts w:cs="Arial" w:ascii="Arial" w:hAnsi="Arial"/>
          <w:b/>
          <w:color w:val="000000"/>
        </w:rPr>
      </w:r>
    </w:p>
    <w:p>
      <w:pPr>
        <w:pStyle w:val="Normal"/>
        <w:spacing w:lineRule="atLeast" w:line="240"/>
        <w:ind w:hanging="2160" w:start="2160" w:end="0"/>
        <w:jc w:val="both"/>
        <w:rPr/>
      </w:pPr>
      <w:r>
        <w:rPr>
          <w:rFonts w:cs="Arial" w:ascii="Arial" w:hAnsi="Arial"/>
          <w:b/>
          <w:color w:val="000000"/>
        </w:rPr>
        <w:t>Quantity:</w:t>
      </w:r>
      <w:r>
        <w:rPr>
          <w:rFonts w:cs="Arial" w:ascii="Arial" w:hAnsi="Arial"/>
          <w:color w:val="000000"/>
        </w:rPr>
        <w:tab/>
        <w:t xml:space="preserve">100 MW </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ind w:hanging="2160" w:start="2160" w:end="0"/>
        <w:rPr/>
      </w:pPr>
      <w:r>
        <w:rPr>
          <w:rFonts w:cs="Arial" w:ascii="Arial" w:hAnsi="Arial"/>
          <w:b/>
          <w:color w:val="000000"/>
        </w:rPr>
        <w:t>Delivery Point:</w:t>
        <w:tab/>
      </w:r>
      <w:r>
        <w:rPr>
          <w:rFonts w:cs="Arial" w:ascii="Arial" w:hAnsi="Arial"/>
          <w:color w:val="000000"/>
        </w:rPr>
        <w:t>Connection to Central Power &amp; Light transmission system located at Facility switchyard</w:t>
      </w:r>
    </w:p>
    <w:p>
      <w:pPr>
        <w:pStyle w:val="Normal"/>
        <w:spacing w:lineRule="atLeast" w:line="240"/>
        <w:rPr>
          <w:rFonts w:ascii="Arial" w:hAnsi="Arial" w:cs="Arial"/>
          <w:color w:val="000000"/>
        </w:rPr>
      </w:pPr>
      <w:r>
        <w:rPr>
          <w:rFonts w:cs="Arial" w:ascii="Arial" w:hAnsi="Arial"/>
          <w:color w:val="000000"/>
        </w:rPr>
      </w:r>
    </w:p>
    <w:p>
      <w:pPr>
        <w:pStyle w:val="BodyText"/>
        <w:ind w:hanging="2160" w:start="2160" w:end="0"/>
        <w:jc w:val="both"/>
        <w:rPr/>
      </w:pPr>
      <w:r>
        <w:rPr>
          <w:b/>
          <w:i w:val="false"/>
        </w:rPr>
        <w:t>Energy Price:</w:t>
        <w:tab/>
      </w:r>
      <w:r>
        <w:rPr>
          <w:i w:val="false"/>
        </w:rPr>
        <w:t>The Energy Price would be determined as follows:</w:t>
      </w:r>
    </w:p>
    <w:p>
      <w:pPr>
        <w:pStyle w:val="BodyText"/>
        <w:ind w:hanging="2160" w:start="2160" w:end="0"/>
        <w:jc w:val="both"/>
        <w:rPr>
          <w:i w:val="false"/>
          <w:i w:val="false"/>
        </w:rPr>
      </w:pPr>
      <w:r>
        <w:rPr>
          <w:i w:val="false"/>
        </w:rPr>
        <w:tab/>
      </w:r>
    </w:p>
    <w:p>
      <w:pPr>
        <w:pStyle w:val="BodyText"/>
        <w:ind w:hanging="2160" w:start="2160" w:end="0"/>
        <w:jc w:val="both"/>
        <w:rPr/>
      </w:pPr>
      <w:r>
        <w:rPr>
          <w:i w:val="false"/>
        </w:rPr>
        <w:tab/>
      </w:r>
      <w:r>
        <w:rPr>
          <w:i w:val="false"/>
          <w:u w:val="single"/>
        </w:rPr>
        <w:t xml:space="preserve">Energy Price ($/MWh)  </w:t>
      </w:r>
      <w:r>
        <w:rPr>
          <w:i w:val="false"/>
        </w:rPr>
        <w:t>= Heat Rate / 1000 x Gas Price</w:t>
      </w:r>
    </w:p>
    <w:p>
      <w:pPr>
        <w:pStyle w:val="BodyText"/>
        <w:ind w:hanging="2160" w:start="2160" w:end="0"/>
        <w:jc w:val="both"/>
        <w:rPr>
          <w:i w:val="false"/>
          <w:i w:val="false"/>
        </w:rPr>
      </w:pPr>
      <w:r>
        <w:rPr>
          <w:i w:val="false"/>
        </w:rPr>
      </w:r>
    </w:p>
    <w:p>
      <w:pPr>
        <w:pStyle w:val="BodyText"/>
        <w:tabs>
          <w:tab w:val="clear" w:pos="720"/>
          <w:tab w:val="left" w:pos="4410" w:leader="none"/>
          <w:tab w:val="left" w:pos="6390" w:leader="none"/>
        </w:tabs>
        <w:ind w:hanging="2160" w:start="2160" w:end="0"/>
        <w:jc w:val="both"/>
        <w:rPr/>
      </w:pPr>
      <w:r>
        <w:rPr>
          <w:i w:val="false"/>
        </w:rPr>
        <w:tab/>
      </w:r>
      <w:r>
        <w:rPr>
          <w:i w:val="false"/>
          <w:u w:val="single"/>
        </w:rPr>
        <w:t>Heat Rate (Btu/KWh)</w:t>
      </w:r>
      <w:r>
        <w:rPr>
          <w:i w:val="false"/>
        </w:rPr>
        <w:t>:</w:t>
      </w:r>
      <w:r>
        <w:rPr>
          <w:b/>
          <w:bCs/>
          <w:iCs/>
        </w:rPr>
        <w:tab/>
      </w:r>
      <w:r>
        <w:rPr>
          <w:i w:val="false"/>
        </w:rPr>
        <w:t>11,000</w:t>
      </w:r>
    </w:p>
    <w:p>
      <w:pPr>
        <w:pStyle w:val="BodyText"/>
        <w:ind w:start="2160" w:end="0"/>
        <w:jc w:val="both"/>
        <w:rPr>
          <w:i w:val="false"/>
          <w:i w:val="false"/>
        </w:rPr>
      </w:pPr>
      <w:r>
        <w:rPr>
          <w:i w:val="false"/>
        </w:rPr>
        <w:tab/>
      </w:r>
    </w:p>
    <w:p>
      <w:pPr>
        <w:pStyle w:val="BodyText"/>
        <w:tabs>
          <w:tab w:val="clear" w:pos="720"/>
          <w:tab w:val="left" w:pos="2160" w:leader="none"/>
          <w:tab w:val="left" w:pos="3780" w:leader="none"/>
        </w:tabs>
        <w:ind w:start="2160" w:end="0"/>
        <w:jc w:val="both"/>
        <w:rPr/>
      </w:pPr>
      <w:r>
        <w:rPr>
          <w:bCs/>
          <w:i w:val="false"/>
          <w:u w:val="single"/>
        </w:rPr>
        <w:t>Gas Price ($/MMBtu)</w:t>
      </w:r>
      <w:r>
        <w:rPr>
          <w:bCs/>
          <w:i w:val="false"/>
        </w:rPr>
        <w:t>:</w:t>
      </w:r>
      <w:r>
        <w:rPr>
          <w:b/>
          <w:iCs/>
        </w:rPr>
        <w:tab/>
      </w:r>
      <w:r>
        <w:rPr>
          <w:bCs/>
          <w:i w:val="false"/>
        </w:rPr>
        <w:t>Gas Daily, Daily Price Survey under the heading “East-Houston-Katy, Houston Ship Channel”, Midpoint per MMBtu plus $0.20.</w:t>
      </w:r>
      <w:r>
        <w:rPr>
          <w:i w:val="false"/>
        </w:rPr>
        <w:tab/>
      </w:r>
    </w:p>
    <w:p>
      <w:pPr>
        <w:pStyle w:val="Normal"/>
        <w:spacing w:lineRule="atLeast" w:line="240"/>
        <w:ind w:hanging="2160" w:start="2160" w:end="0"/>
        <w:jc w:val="both"/>
        <w:rPr>
          <w:rFonts w:ascii="Arial" w:hAnsi="Arial" w:cs="Arial"/>
          <w:b/>
          <w:i/>
          <w:i/>
          <w:color w:val="000000"/>
        </w:rPr>
      </w:pPr>
      <w:r>
        <w:rPr>
          <w:rFonts w:cs="Arial" w:ascii="Arial" w:hAnsi="Arial"/>
          <w:b/>
          <w:i/>
          <w:color w:val="000000"/>
        </w:rPr>
      </w:r>
    </w:p>
    <w:p>
      <w:pPr>
        <w:pStyle w:val="Normal"/>
        <w:spacing w:lineRule="atLeast" w:line="240"/>
        <w:ind w:hanging="2160" w:start="2160" w:end="0"/>
        <w:jc w:val="both"/>
        <w:rPr/>
      </w:pPr>
      <w:r>
        <w:rPr>
          <w:rFonts w:cs="Arial" w:ascii="Arial" w:hAnsi="Arial"/>
          <w:b/>
          <w:color w:val="000000"/>
        </w:rPr>
        <w:t>Capacity Payment:</w:t>
        <w:tab/>
      </w:r>
      <w:r>
        <w:rPr>
          <w:rFonts w:cs="Arial" w:ascii="Arial" w:hAnsi="Arial"/>
          <w:color w:val="000000"/>
        </w:rPr>
        <w:t>$10.00/KW-Mo.</w:t>
        <w:tab/>
        <w:tab/>
      </w:r>
    </w:p>
    <w:p>
      <w:pPr>
        <w:pStyle w:val="Normal"/>
        <w:spacing w:lineRule="atLeast" w:line="240"/>
        <w:ind w:hanging="2160" w:start="2160" w:end="0"/>
        <w:rPr>
          <w:rFonts w:ascii="Arial" w:hAnsi="Arial" w:cs="Arial"/>
          <w:color w:val="000000"/>
        </w:rPr>
      </w:pPr>
      <w:r>
        <w:rPr>
          <w:rFonts w:cs="Arial" w:ascii="Arial" w:hAnsi="Arial"/>
          <w:color w:val="000000"/>
        </w:rPr>
      </w:r>
    </w:p>
    <w:p>
      <w:pPr>
        <w:pStyle w:val="BodyText"/>
        <w:ind w:hanging="2160" w:start="2160" w:end="0"/>
        <w:jc w:val="both"/>
        <w:rPr/>
      </w:pPr>
      <w:r>
        <w:rPr>
          <w:b/>
          <w:i w:val="false"/>
          <w:iCs/>
        </w:rPr>
        <w:t>Scheduling:</w:t>
      </w:r>
      <w:r>
        <w:rPr>
          <w:b/>
          <w:i w:val="false"/>
        </w:rPr>
        <w:tab/>
      </w:r>
      <w:r>
        <w:rPr>
          <w:bCs/>
          <w:i w:val="false"/>
        </w:rPr>
        <w:t>EPMI would provide XXX a day-</w:t>
      </w:r>
      <w:r>
        <w:rPr>
          <w:i w:val="false"/>
        </w:rPr>
        <w:t>ahead schedule prior to 10:00am CPT.   Minimum take would be 4 consecutive hours.  Must be scheduled in 25 MW blocks.</w:t>
      </w:r>
    </w:p>
    <w:p>
      <w:pPr>
        <w:pStyle w:val="Normal"/>
        <w:spacing w:lineRule="atLeast" w:line="240"/>
        <w:ind w:hanging="2160" w:start="2160" w:end="0"/>
        <w:jc w:val="both"/>
        <w:rPr>
          <w:rFonts w:ascii="Arial" w:hAnsi="Arial" w:cs="Arial"/>
          <w:b/>
          <w:i/>
          <w:i/>
          <w:color w:val="000000"/>
        </w:rPr>
      </w:pPr>
      <w:r>
        <w:rPr>
          <w:rFonts w:cs="Arial" w:ascii="Arial" w:hAnsi="Arial"/>
          <w:b/>
          <w:i/>
          <w:color w:val="000000"/>
        </w:rPr>
      </w:r>
    </w:p>
    <w:p>
      <w:pPr>
        <w:pStyle w:val="Normal"/>
        <w:spacing w:before="120" w:after="0"/>
        <w:ind w:hanging="2160" w:start="2160" w:end="0"/>
        <w:jc w:val="both"/>
        <w:rPr/>
      </w:pPr>
      <w:r>
        <w:rPr>
          <w:rFonts w:cs="Arial" w:ascii="Arial" w:hAnsi="Arial"/>
          <w:b/>
          <w:color w:val="000000"/>
        </w:rPr>
        <w:t>Availability:</w:t>
        <w:tab/>
      </w:r>
      <w:r>
        <w:rPr>
          <w:rFonts w:cs="Arial" w:ascii="Arial" w:hAnsi="Arial"/>
          <w:color w:val="000000"/>
        </w:rPr>
        <w:t xml:space="preserve">The above Capacity Payment schedule is based on 95% or greater availability for all peak hours that EPMI elects to schedule the energy.  For each percent of unavailability less than 95%, a 5% discount will be applied to each monthly Capacity Payment. </w:t>
      </w:r>
    </w:p>
    <w:p>
      <w:pPr>
        <w:pStyle w:val="Normal"/>
        <w:spacing w:before="120" w:after="0"/>
        <w:ind w:hanging="2160" w:start="2160" w:end="0"/>
        <w:jc w:val="both"/>
        <w:rPr>
          <w:rFonts w:ascii="Arial" w:hAnsi="Arial" w:cs="Arial"/>
          <w:color w:val="000000"/>
        </w:rPr>
      </w:pPr>
      <w:r>
        <w:rPr>
          <w:rFonts w:cs="Arial" w:ascii="Arial" w:hAnsi="Arial"/>
          <w:color w:val="000000"/>
        </w:rPr>
      </w:r>
    </w:p>
    <w:p>
      <w:pPr>
        <w:pStyle w:val="Normal"/>
        <w:spacing w:lineRule="atLeast" w:line="240"/>
        <w:ind w:hanging="2160" w:start="2160" w:end="0"/>
        <w:jc w:val="both"/>
        <w:rPr>
          <w:rFonts w:ascii="Arial" w:hAnsi="Arial" w:cs="Arial"/>
          <w:b/>
          <w:color w:val="000000"/>
        </w:rPr>
      </w:pPr>
      <w:r>
        <w:rPr>
          <w:rFonts w:cs="Arial" w:ascii="Arial" w:hAnsi="Arial"/>
          <w:b/>
          <w:color w:val="000000"/>
        </w:rPr>
        <w:t>Transmission:</w:t>
        <w:tab/>
      </w:r>
      <w:r>
        <w:rPr>
          <w:rFonts w:cs="Arial" w:ascii="Arial" w:hAnsi="Arial"/>
          <w:color w:val="000000"/>
        </w:rPr>
        <w:t xml:space="preserve">XXX would be responsible for all transmission charges and losses to the Delivery Point.  EPMI would be responsible for all transmission charges and losses from the Delivery Point to their sink. </w:t>
      </w:r>
    </w:p>
    <w:p>
      <w:pPr>
        <w:pStyle w:val="Normal"/>
        <w:spacing w:lineRule="atLeast" w:line="240"/>
        <w:ind w:hanging="2160" w:start="2160" w:end="0"/>
        <w:jc w:val="both"/>
        <w:rPr>
          <w:rFonts w:ascii="Arial" w:hAnsi="Arial" w:cs="Arial"/>
          <w:color w:val="000000"/>
        </w:rPr>
      </w:pPr>
      <w:r>
        <w:rPr>
          <w:rFonts w:cs="Arial" w:ascii="Arial" w:hAnsi="Arial"/>
          <w:color w:val="000000"/>
        </w:rPr>
        <w:tab/>
      </w:r>
    </w:p>
    <w:p>
      <w:pPr>
        <w:pStyle w:val="BodyText"/>
        <w:jc w:val="both"/>
        <w:rPr>
          <w:rFonts w:ascii="Arial" w:hAnsi="Arial" w:cs="Arial"/>
          <w:b/>
          <w:i w:val="false"/>
          <w:i w:val="false"/>
          <w:color w:val="000000"/>
        </w:rPr>
      </w:pPr>
      <w:r>
        <w:rPr>
          <w:rFonts w:cs="Arial"/>
          <w:b/>
          <w:i w:val="false"/>
          <w:color w:val="000000"/>
        </w:rPr>
      </w:r>
    </w:p>
    <w:p>
      <w:pPr>
        <w:pStyle w:val="BodyText"/>
        <w:jc w:val="both"/>
        <w:rPr>
          <w:b/>
          <w:i w:val="false"/>
          <w:i w:val="false"/>
        </w:rPr>
      </w:pPr>
      <w:r>
        <w:rPr>
          <w:b/>
          <w:i w:val="false"/>
        </w:rPr>
        <w:t xml:space="preserve">Terms &amp; </w:t>
      </w:r>
    </w:p>
    <w:p>
      <w:pPr>
        <w:pStyle w:val="BodyText"/>
        <w:ind w:hanging="2160" w:start="2160" w:end="0"/>
        <w:jc w:val="both"/>
        <w:rPr/>
      </w:pPr>
      <w:r>
        <w:rPr>
          <w:b/>
          <w:i w:val="false"/>
        </w:rPr>
        <w:t>Conditions:</w:t>
        <w:tab/>
      </w:r>
      <w:r>
        <w:rPr>
          <w:i w:val="false"/>
        </w:rPr>
        <w:t xml:space="preserve">Basic Terms and Conditions, including but not limited to those governing events of default and remedies, dispute resolution, limitations of damages, credit, confidentiality, governing law and environmental matters, would be negotiated between the Parties prior to a definitive agreement.  </w:t>
      </w:r>
    </w:p>
    <w:p>
      <w:pPr>
        <w:pStyle w:val="BodyText"/>
        <w:ind w:hanging="2160" w:start="2160" w:end="0"/>
        <w:jc w:val="both"/>
        <w:rPr>
          <w:b/>
          <w:i w:val="false"/>
          <w:i w:val="false"/>
        </w:rPr>
      </w:pPr>
      <w:r>
        <w:rPr>
          <w:b/>
          <w:i w:val="false"/>
        </w:rPr>
      </w:r>
    </w:p>
    <w:p>
      <w:pPr>
        <w:pStyle w:val="Normal"/>
        <w:ind w:hanging="2160" w:start="2160" w:end="0"/>
        <w:jc w:val="both"/>
        <w:rPr>
          <w:rFonts w:ascii="Arial" w:hAnsi="Arial" w:cs="Arial"/>
        </w:rPr>
      </w:pPr>
      <w:r>
        <w:rPr>
          <w:rFonts w:cs="Arial" w:ascii="Arial" w:hAnsi="Arial"/>
          <w:b/>
        </w:rPr>
        <w:t>Confidentiality:</w:t>
      </w:r>
      <w:r>
        <w:rPr>
          <w:rFonts w:cs="Arial" w:ascii="Arial" w:hAnsi="Arial"/>
        </w:rPr>
        <w:tab/>
        <w:t>The existence of this Draft Term Sheet and all terms and conditions contained herein are confidential between EPMI and XXX and their duly appointed representatives and shall not be disclosed to third parties.</w:t>
      </w:r>
    </w:p>
    <w:p>
      <w:pPr>
        <w:pStyle w:val="Normal"/>
        <w:ind w:hanging="2160" w:start="2160" w:end="0"/>
        <w:jc w:val="both"/>
        <w:rPr/>
      </w:pPr>
      <w:r>
        <w:rPr/>
        <w:tab/>
      </w:r>
    </w:p>
    <w:p>
      <w:pPr>
        <w:pStyle w:val="BodyText"/>
        <w:jc w:val="both"/>
        <w:rPr/>
      </w:pPr>
      <w:r>
        <w:rPr/>
      </w:r>
    </w:p>
    <w:p>
      <w:pPr>
        <w:pStyle w:val="BodyText"/>
        <w:jc w:val="both"/>
        <w:rPr>
          <w:b/>
          <w:bCs/>
          <w:i w:val="false"/>
          <w:i w:val="false"/>
          <w:iCs/>
        </w:rPr>
      </w:pPr>
      <w:r>
        <w:rPr>
          <w:b/>
          <w:bCs/>
          <w:i w:val="false"/>
          <w:iCs/>
        </w:rPr>
      </w:r>
    </w:p>
    <w:p>
      <w:pPr>
        <w:pStyle w:val="BodyText"/>
        <w:jc w:val="both"/>
        <w:rPr>
          <w:b/>
          <w:bCs/>
          <w:i w:val="false"/>
          <w:i w:val="false"/>
          <w:iCs/>
        </w:rPr>
      </w:pPr>
      <w:r>
        <w:rPr>
          <w:b/>
          <w:bCs/>
          <w:i w:val="false"/>
          <w:iCs/>
        </w:rPr>
      </w:r>
    </w:p>
    <w:p>
      <w:pPr>
        <w:pStyle w:val="BodyText"/>
        <w:jc w:val="both"/>
        <w:rPr>
          <w:b/>
          <w:bCs/>
          <w:i w:val="false"/>
          <w:i w:val="false"/>
          <w:iCs/>
        </w:rPr>
      </w:pPr>
      <w:r>
        <w:rPr>
          <w:b/>
          <w:bCs/>
          <w:i w:val="false"/>
          <w:iCs/>
        </w:rPr>
        <w:t>Not An Offer, For Discussion Purposes Only:  The prices and terms of this Draft Term Sheet are subject to change until a definitive agreement is reached, in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credit and limitation of damages and remedies.  Neither party shall disclose the terms and provisions of this Draft Term Sheet to any third party.</w:t>
      </w:r>
    </w:p>
    <w:p>
      <w:pPr>
        <w:pStyle w:val="BodyText"/>
        <w:jc w:val="both"/>
        <w:rPr>
          <w:b/>
          <w:bCs/>
          <w:i w:val="false"/>
          <w:i w:val="false"/>
          <w:iCs/>
        </w:rPr>
      </w:pPr>
      <w:r>
        <w:rPr>
          <w:b/>
          <w:bCs/>
          <w:i w:val="false"/>
          <w:iCs/>
        </w:rPr>
      </w:r>
    </w:p>
    <w:sectPr>
      <w:headerReference w:type="default" r:id="rId2"/>
      <w:footerReference w:type="default" r:id="rId3"/>
      <w:type w:val="nextPage"/>
      <w:pgSz w:w="12240" w:h="15840"/>
      <w:pgMar w:left="1800" w:right="1800" w:gutter="0" w:header="720" w:top="1440" w:footer="93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eastAsia="en-CA"/>
      </w:rPr>
    </w:pPr>
    <w:r>
      <w:rPr>
        <w:lang w:val="en-CA" w:eastAsia="en-CA"/>
      </w:rPr>
      <w:drawing>
        <wp:anchor behindDoc="1" distT="0" distB="0" distL="114935" distR="114935" simplePos="0" locked="0" layoutInCell="1" allowOverlap="1" relativeHeight="3">
          <wp:simplePos x="0" y="0"/>
          <wp:positionH relativeFrom="column">
            <wp:posOffset>4892040</wp:posOffset>
          </wp:positionH>
          <wp:positionV relativeFrom="paragraph">
            <wp:posOffset>25400</wp:posOffset>
          </wp:positionV>
          <wp:extent cx="606425" cy="609600"/>
          <wp:effectExtent l="0" t="0" r="0" b="0"/>
          <wp:wrapNone/>
          <wp:docPr id="2"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_C_WHI"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pPr>
    <w:r>
      <w:rPr/>
    </w:r>
  </w:p>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Proprietary &amp; Confidential Information</w:t>
    </w:r>
    <w:r>
      <mc:AlternateContent>
        <mc:Choice Requires="wps">
          <w:drawing>
            <wp:anchor behindDoc="1" distT="0" distB="0" distL="114935" distR="114935" simplePos="0" locked="0" layoutInCell="1" allowOverlap="1" relativeHeight="5">
              <wp:simplePos x="0" y="0"/>
              <wp:positionH relativeFrom="column">
                <wp:posOffset>-50165</wp:posOffset>
              </wp:positionH>
              <wp:positionV relativeFrom="paragraph">
                <wp:posOffset>-4445</wp:posOffset>
              </wp:positionV>
              <wp:extent cx="5586730" cy="283210"/>
              <wp:effectExtent l="0" t="0" r="0" b="0"/>
              <wp:wrapNone/>
              <wp:docPr id="1" name="Frame1"/>
              <a:graphic xmlns:a="http://schemas.openxmlformats.org/drawingml/2006/main">
                <a:graphicData uri="http://schemas.microsoft.com/office/word/2010/wordprocessingShape">
                  <wps:wsp>
                    <wps:cNvSpPr txBox="1"/>
                    <wps:spPr>
                      <a:xfrm>
                        <a:off x="0" y="0"/>
                        <a:ext cx="5586730" cy="283210"/>
                      </a:xfrm>
                      <a:prstGeom prst="rect"/>
                      <a:solidFill>
                        <a:srgbClr val="0000FF"/>
                      </a:solidFill>
                      <a:ln w="9525">
                        <a:solidFill>
                          <a:srgbClr val="000000"/>
                        </a:solidFill>
                      </a:ln>
                    </wps:spPr>
                    <wps:txbx>
                      <w:txbxContent>
                        <w:p>
                          <w:pPr>
                            <w:pStyle w:val="Heading4"/>
                            <w:ind w:hanging="0" w:start="0"/>
                            <w:rPr/>
                          </w:pPr>
                          <w:r>
                            <w:rPr/>
                            <w:t>Proprietary &amp; Confidential Information, For Discussion Only</w:t>
                          </w:r>
                        </w:p>
                      </w:txbxContent>
                    </wps:txbx>
                    <wps:bodyPr anchor="t" lIns="91440" tIns="45720" rIns="91440" bIns="45720">
                      <a:noAutofit/>
                    </wps:bodyPr>
                  </wps:wsp>
                </a:graphicData>
              </a:graphic>
            </wp:anchor>
          </w:drawing>
        </mc:Choice>
        <mc:Fallback>
          <w:pict>
            <v:rect fillcolor="#0000FF" strokecolor="#000000" strokeweight="0pt" style="position:absolute;rotation:-0;width:439.9pt;height:22.3pt;mso-wrap-distance-left:9.05pt;mso-wrap-distance-right:9.05pt;mso-wrap-distance-top:0pt;mso-wrap-distance-bottom:0pt;margin-top:-0.35pt;mso-position-vertical-relative:text;margin-left:-3.95pt;mso-position-horizontal-relative:text">
              <v:textbox>
                <w:txbxContent>
                  <w:p>
                    <w:pPr>
                      <w:pStyle w:val="Heading4"/>
                      <w:ind w:hanging="0" w:start="0"/>
                      <w:rPr/>
                    </w:pPr>
                    <w:r>
                      <w:rPr/>
                      <w:t>Proprietary &amp; Confidential Information, For Discussion Only</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b/>
      <w:i/>
      <w:color w:val="FFFFFF"/>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rPr>
  </w:style>
  <w:style w:type="paragraph" w:styleId="BodyTextIndent2">
    <w:name w:val="Body Text Indent 2"/>
    <w:basedOn w:val="Normal"/>
    <w:qFormat/>
    <w:pPr>
      <w:spacing w:lineRule="atLeast" w:line="240"/>
      <w:ind w:hanging="2250" w:start="2250" w:end="0"/>
    </w:pPr>
    <w:rPr>
      <w:rFonts w:ascii="Arial" w:hAnsi="Arial" w:cs="Arial"/>
      <w:color w:val="000000"/>
    </w:rPr>
  </w:style>
  <w:style w:type="paragraph" w:styleId="BodyTextIndent3">
    <w:name w:val="Body Text Indent 3"/>
    <w:basedOn w:val="Normal"/>
    <w:qFormat/>
    <w:pPr>
      <w:spacing w:lineRule="atLeast" w:line="240"/>
      <w:ind w:hanging="0" w:start="2160" w:end="0"/>
    </w:pPr>
    <w:rPr>
      <w:rFonts w:ascii="Arial" w:hAnsi="Arial" w:cs="Arial"/>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2001-06-28T15:33:00Z</dcterms:created>
  <dc:creator>Michael J. Curry</dc:creator>
  <dc:description/>
  <dc:language>en-CA</dc:language>
  <cp:lastModifiedBy>Mike Curry</cp:lastModifiedBy>
  <cp:lastPrinted>2000-03-28T14:02:00Z</cp:lastPrinted>
  <dcterms:modified xsi:type="dcterms:W3CDTF">2001-06-28T15:33:00Z</dcterms:modified>
  <cp:revision>2</cp:revision>
  <dc:subject/>
  <dc:title>Dave,  Here is an indicative three year proposal for your consideration:</dc:title>
</cp:coreProperties>
</file>