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 xml:space="preserve">California ISO Approach on the Modeling of </w:t>
      </w:r>
    </w:p>
    <w:p>
      <w:pPr>
        <w:pStyle w:val="Normal"/>
        <w:jc w:val="center"/>
        <w:rPr>
          <w:b/>
          <w:sz w:val="28"/>
          <w:u w:val="single"/>
        </w:rPr>
      </w:pPr>
      <w:r>
        <w:rPr>
          <w:b/>
          <w:sz w:val="28"/>
          <w:u w:val="single"/>
        </w:rPr>
        <w:t>New Generation in Power flow Cases</w:t>
      </w:r>
    </w:p>
    <w:p>
      <w:pPr>
        <w:pStyle w:val="Normal"/>
        <w:rPr>
          <w:b/>
          <w:sz w:val="24"/>
          <w:u w:val="single"/>
        </w:rPr>
      </w:pPr>
      <w:r>
        <w:rPr>
          <w:b/>
          <w:sz w:val="24"/>
          <w:u w:val="single"/>
        </w:rPr>
      </w:r>
    </w:p>
    <w:p>
      <w:pPr>
        <w:pStyle w:val="Normal"/>
        <w:rPr>
          <w:sz w:val="24"/>
        </w:rPr>
      </w:pPr>
      <w:r>
        <w:rPr>
          <w:sz w:val="24"/>
        </w:rPr>
      </w:r>
    </w:p>
    <w:p>
      <w:pPr>
        <w:pStyle w:val="Normal"/>
        <w:rPr>
          <w:sz w:val="24"/>
        </w:rPr>
      </w:pPr>
      <w:r>
        <w:rPr>
          <w:sz w:val="24"/>
        </w:rPr>
        <w:t>The transmission facilities that planning studies identify as being required in a specific area of the system are determined based on technical studies that make assumptions concerning the availability of planned generation additions. The location and size of these generation additions can dramatically alter the resulting transmission plans. The ISO Planning Standards Committee was tasked with developing a standard approach to modeling this new generation in the base cases used to plan the transmission system. The approach needs to allow for the consistent development of base cases and account for the uncertainty associated with future generation development plans.</w:t>
      </w:r>
    </w:p>
    <w:p>
      <w:pPr>
        <w:pStyle w:val="Normal"/>
        <w:rPr>
          <w:sz w:val="24"/>
        </w:rPr>
      </w:pPr>
      <w:r>
        <w:rPr>
          <w:sz w:val="24"/>
        </w:rPr>
      </w:r>
    </w:p>
    <w:p>
      <w:pPr>
        <w:pStyle w:val="Normal"/>
        <w:rPr>
          <w:sz w:val="24"/>
        </w:rPr>
      </w:pPr>
      <w:r>
        <w:rPr>
          <w:sz w:val="24"/>
        </w:rPr>
        <w:t>For the purposes of developing these assumptions, the following stages of generation development are used:</w:t>
      </w:r>
    </w:p>
    <w:p>
      <w:pPr>
        <w:pStyle w:val="Normal"/>
        <w:rPr>
          <w:sz w:val="24"/>
        </w:rPr>
      </w:pPr>
      <w:r>
        <w:rPr>
          <w:sz w:val="24"/>
        </w:rPr>
      </w:r>
    </w:p>
    <w:p>
      <w:pPr>
        <w:pStyle w:val="BodyText"/>
        <w:tabs>
          <w:tab w:val="clear" w:pos="720"/>
          <w:tab w:val="left" w:pos="900" w:leader="none"/>
        </w:tabs>
        <w:jc w:val="start"/>
        <w:rPr/>
      </w:pPr>
      <w:r>
        <w:rPr/>
        <w:t>Level 1:</w:t>
        <w:tab/>
        <w:t>Under construction</w:t>
      </w:r>
    </w:p>
    <w:p>
      <w:pPr>
        <w:pStyle w:val="BodyText"/>
        <w:tabs>
          <w:tab w:val="clear" w:pos="720"/>
          <w:tab w:val="left" w:pos="900" w:leader="none"/>
        </w:tabs>
        <w:jc w:val="start"/>
        <w:rPr/>
      </w:pPr>
      <w:r>
        <w:rPr/>
        <w:t>Level 2:</w:t>
        <w:tab/>
        <w:t>Regulatory approval received</w:t>
      </w:r>
    </w:p>
    <w:p>
      <w:pPr>
        <w:pStyle w:val="BodyText"/>
        <w:tabs>
          <w:tab w:val="clear" w:pos="720"/>
          <w:tab w:val="left" w:pos="900" w:leader="none"/>
        </w:tabs>
        <w:jc w:val="start"/>
        <w:rPr/>
      </w:pPr>
      <w:r>
        <w:rPr/>
        <w:t>Level 3:</w:t>
        <w:tab/>
        <w:t>Application under review</w:t>
      </w:r>
    </w:p>
    <w:p>
      <w:pPr>
        <w:pStyle w:val="BodyText"/>
        <w:tabs>
          <w:tab w:val="clear" w:pos="720"/>
          <w:tab w:val="left" w:pos="900" w:leader="none"/>
        </w:tabs>
        <w:jc w:val="start"/>
        <w:rPr/>
      </w:pPr>
      <w:r>
        <w:rPr/>
        <w:t>Level 4:</w:t>
        <w:tab/>
        <w:t>Starting application process</w:t>
      </w:r>
    </w:p>
    <w:p>
      <w:pPr>
        <w:pStyle w:val="BodyText"/>
        <w:tabs>
          <w:tab w:val="clear" w:pos="720"/>
          <w:tab w:val="left" w:pos="900" w:leader="none"/>
        </w:tabs>
        <w:jc w:val="start"/>
        <w:rPr/>
      </w:pPr>
      <w:r>
        <w:rPr/>
        <w:t>Level 5:</w:t>
        <w:tab/>
        <w:t xml:space="preserve">Press release only </w:t>
      </w:r>
    </w:p>
    <w:p>
      <w:pPr>
        <w:pStyle w:val="Normal"/>
        <w:tabs>
          <w:tab w:val="clear" w:pos="720"/>
          <w:tab w:val="left" w:pos="900" w:leader="none"/>
        </w:tabs>
        <w:rPr>
          <w:sz w:val="24"/>
        </w:rPr>
      </w:pPr>
      <w:r>
        <w:rPr>
          <w:sz w:val="24"/>
        </w:rPr>
      </w:r>
    </w:p>
    <w:p>
      <w:pPr>
        <w:pStyle w:val="Normal"/>
        <w:rPr>
          <w:sz w:val="24"/>
        </w:rPr>
      </w:pPr>
      <w:r>
        <w:rPr>
          <w:sz w:val="24"/>
        </w:rPr>
        <w:t>After discussing this subject at several meetings, the Committee has developed the following approach toward the modeling of new generation in the initial power flow cases used to assess the need for transmission system additions:</w:t>
      </w:r>
    </w:p>
    <w:p>
      <w:pPr>
        <w:pStyle w:val="Normal"/>
        <w:rPr>
          <w:sz w:val="24"/>
        </w:rPr>
      </w:pPr>
      <w:r>
        <w:rPr>
          <w:sz w:val="24"/>
        </w:rPr>
      </w:r>
    </w:p>
    <w:p>
      <w:pPr>
        <w:pStyle w:val="Normal"/>
        <w:rPr/>
      </w:pPr>
      <w:r>
        <w:rPr>
          <w:b/>
          <w:sz w:val="24"/>
          <w:u w:val="single"/>
        </w:rPr>
        <w:t>1) Up to 1-year Operating Cases:</w:t>
      </w:r>
      <w:r>
        <w:rPr>
          <w:sz w:val="24"/>
        </w:rPr>
        <w:t xml:space="preserve"> In these cases, only generation that is under construction and has a planned in-service date within the time frame of the study should be modeled in the initial power flow case.</w:t>
      </w:r>
    </w:p>
    <w:p>
      <w:pPr>
        <w:pStyle w:val="Normal"/>
        <w:rPr>
          <w:sz w:val="24"/>
        </w:rPr>
      </w:pPr>
      <w:r>
        <w:rPr>
          <w:sz w:val="24"/>
        </w:rPr>
      </w:r>
    </w:p>
    <w:p>
      <w:pPr>
        <w:pStyle w:val="Normal"/>
        <w:rPr/>
      </w:pPr>
      <w:r>
        <w:rPr>
          <w:b/>
          <w:sz w:val="24"/>
          <w:u w:val="single"/>
        </w:rPr>
        <w:t>2) 5-year Planning Cases:</w:t>
      </w:r>
      <w:r>
        <w:rPr>
          <w:sz w:val="24"/>
        </w:rPr>
        <w:t xml:space="preserve"> In these cases, only generation that is under construction or has received regulatory approval (Levels 1 and 2) should be modeled in the initial power flow case</w:t>
      </w:r>
    </w:p>
    <w:p>
      <w:pPr>
        <w:pStyle w:val="Normal"/>
        <w:rPr>
          <w:sz w:val="24"/>
        </w:rPr>
      </w:pPr>
      <w:r>
        <w:rPr>
          <w:sz w:val="24"/>
        </w:rPr>
      </w:r>
    </w:p>
    <w:p>
      <w:pPr>
        <w:pStyle w:val="Normal"/>
        <w:rPr/>
      </w:pPr>
      <w:r>
        <w:rPr>
          <w:b/>
          <w:sz w:val="24"/>
          <w:u w:val="single"/>
        </w:rPr>
        <w:t>3) 10-year Planning Cases:</w:t>
      </w:r>
      <w:r>
        <w:rPr>
          <w:sz w:val="24"/>
        </w:rPr>
        <w:t xml:space="preserve"> In these cases, only generation that is under construction or has received regulatory approval (Levels 1 and 2) should be modeled in the area of interest of the initial power flow case. If additional generation is required to achieve an acceptable initial power flow case, then generation from Levels 3, 4, and 5 can be used but only if they are outside of the area of study so that their impact on the facility addition requirements will be minimized.</w:t>
      </w:r>
    </w:p>
    <w:p>
      <w:pPr>
        <w:pStyle w:val="Normal"/>
        <w:rPr>
          <w:sz w:val="24"/>
        </w:rPr>
      </w:pPr>
      <w:r>
        <w:rPr>
          <w:sz w:val="24"/>
        </w:rPr>
      </w:r>
    </w:p>
    <w:p>
      <w:pPr>
        <w:pStyle w:val="Normal"/>
        <w:rPr>
          <w:sz w:val="24"/>
        </w:rPr>
      </w:pPr>
      <w:r>
        <w:rPr>
          <w:sz w:val="24"/>
        </w:rPr>
        <w:t>The above modeling assumptions are to be used in developing the initial power flow case. However, this initial case should only be considered as a starting point and not as the definitive case for determining the required transmission upgrades. Sensitivity cases should be examined to explore the impact that changes in generation development plans will have on transmission facility requirements.  Using the information from the various cases, a transmission expansion plan should be developed that reasonably accounts for uncertainty in generation development plans.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Note: This policy does not change the queuing process for generators or the current approach used by the PTO’s for conducting generator connection studies.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2001-04-19T16:18:00Z</dcterms:created>
  <dc:creator>Jeff Miller</dc:creator>
  <dc:description/>
  <dc:language>en-CA</dc:language>
  <cp:lastModifiedBy>Jeff Miller</cp:lastModifiedBy>
  <dcterms:modified xsi:type="dcterms:W3CDTF">2001-04-19T16:18:00Z</dcterms:modified>
  <cp:revision>2</cp:revision>
  <dc:subject/>
  <dc:title>ISO Standard for the Modeling of </dc:title>
</cp:coreProperties>
</file>