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240"/>
        <w:ind w:hanging="0" w:start="0"/>
        <w:rPr>
          <w:sz w:val="40"/>
        </w:rPr>
      </w:pPr>
      <w:r>
        <w:rPr>
          <w:sz w:val="40"/>
        </w:rPr>
        <w:t>Term sheet</w:t>
      </w:r>
    </w:p>
    <w:p>
      <w:pPr>
        <w:pStyle w:val="Heading5"/>
        <w:ind w:hanging="0" w:start="0"/>
        <w:rPr>
          <w:rFonts w:ascii="Times New Roman" w:hAnsi="Times New Roman" w:cs="Times New Roman"/>
          <w:caps w:val="false"/>
          <w:smallCaps w:val="false"/>
          <w:sz w:val="36"/>
        </w:rPr>
      </w:pPr>
      <w:r>
        <w:rPr>
          <w:rFonts w:cs="Times New Roman" w:ascii="Times New Roman" w:hAnsi="Times New Roman"/>
          <w:caps w:val="false"/>
          <w:smallCaps w:val="false"/>
          <w:sz w:val="36"/>
        </w:rPr>
        <w:t>Development of Peaking Gas-Fired Generation at</w:t>
      </w:r>
    </w:p>
    <w:p>
      <w:pPr>
        <w:pStyle w:val="Heading5"/>
        <w:spacing w:before="0" w:after="240"/>
        <w:ind w:hanging="0" w:start="0"/>
        <w:rPr>
          <w:rFonts w:ascii="Times New Roman" w:hAnsi="Times New Roman" w:cs="Times New Roman"/>
          <w:caps w:val="false"/>
          <w:smallCaps w:val="false"/>
          <w:sz w:val="36"/>
        </w:rPr>
      </w:pPr>
      <w:r>
        <w:rPr>
          <w:rFonts w:cs="Times New Roman" w:ascii="Times New Roman" w:hAnsi="Times New Roman"/>
          <w:caps w:val="false"/>
          <w:smallCaps w:val="false"/>
          <w:sz w:val="36"/>
        </w:rPr>
        <w:t>Redding Electric Utility’s Clear Creek Site</w:t>
      </w:r>
    </w:p>
    <w:p>
      <w:pPr>
        <w:pStyle w:val="BodyTextIndent"/>
        <w:tabs>
          <w:tab w:val="clear" w:pos="1440"/>
          <w:tab w:val="left" w:pos="1260" w:leader="none"/>
        </w:tabs>
        <w:ind w:hanging="1267" w:start="1267" w:end="0"/>
        <w:jc w:val="both"/>
        <w:rPr/>
      </w:pPr>
      <w:r>
        <w:rPr>
          <w:b/>
        </w:rPr>
        <w:t>description</w:t>
      </w:r>
      <w:r>
        <w:rPr/>
        <w:tab/>
        <w:t xml:space="preserve">ENA proposes the joint development of 43 MW’s of gas-fired generation at Redding Electric Utility’s (“REU”) Clear Creek site.  The output from the unit will be marketed to the Department of Water Resources (“DWR”) under a 3 to 6 year tolling agreement at prices substantially offsetting the installed cost of the unit.  </w:t>
      </w:r>
    </w:p>
    <w:p>
      <w:pPr>
        <w:pStyle w:val="BodyTextIndent"/>
        <w:tabs>
          <w:tab w:val="clear" w:pos="1440"/>
          <w:tab w:val="left" w:pos="1260" w:leader="none"/>
        </w:tabs>
        <w:ind w:hanging="1267" w:start="1267" w:end="0"/>
        <w:jc w:val="both"/>
        <w:rPr/>
      </w:pPr>
      <w:r>
        <w:rPr>
          <w:b/>
        </w:rPr>
        <w:tab/>
      </w:r>
      <w:r>
        <w:rPr/>
        <w:t>ENA’s role is to develop the project, performing the following functions:  obtaining permits, securing a turbine and balance of plant equipment, negotiating an EPC contract, securing sufficient emission reduction credits (“ERC”) to allow continuous operation, negotiating the off-take agreement with DWR and providing a natural gas supply for the term of the DWR sale</w:t>
      </w:r>
    </w:p>
    <w:p>
      <w:pPr>
        <w:pStyle w:val="BodyTextIndent"/>
        <w:tabs>
          <w:tab w:val="clear" w:pos="1440"/>
          <w:tab w:val="left" w:pos="1260" w:leader="none"/>
        </w:tabs>
        <w:spacing w:before="0" w:after="0"/>
        <w:ind w:hanging="1260" w:start="1260" w:end="0"/>
        <w:jc w:val="both"/>
        <w:rPr/>
      </w:pPr>
      <w:r>
        <w:rPr/>
        <w:tab/>
        <w:t>REU owns and operates the facility.</w:t>
      </w:r>
    </w:p>
    <w:p>
      <w:pPr>
        <w:pStyle w:val="Heading5"/>
        <w:tabs>
          <w:tab w:val="clear" w:pos="720"/>
          <w:tab w:val="left" w:pos="1260" w:leader="none"/>
        </w:tabs>
        <w:spacing w:before="240" w:after="240"/>
        <w:ind w:hanging="1260" w:start="1260" w:end="0"/>
        <w:rPr>
          <w:rFonts w:ascii="Times New Roman" w:hAnsi="Times New Roman" w:cs="Times New Roman"/>
          <w:sz w:val="28"/>
        </w:rPr>
      </w:pPr>
      <w:r>
        <w:rPr>
          <w:rFonts w:cs="Times New Roman" w:ascii="Times New Roman" w:hAnsi="Times New Roman"/>
          <w:sz w:val="28"/>
        </w:rPr>
        <w:t>Generalized Terms &amp; Conditions</w:t>
      </w:r>
    </w:p>
    <w:p>
      <w:pPr>
        <w:pStyle w:val="BodyTextIndent"/>
        <w:tabs>
          <w:tab w:val="clear" w:pos="1440"/>
          <w:tab w:val="left" w:pos="1260" w:leader="none"/>
        </w:tabs>
        <w:ind w:hanging="1260" w:start="1260" w:end="0"/>
        <w:jc w:val="both"/>
        <w:rPr/>
      </w:pPr>
      <w:r>
        <w:rPr>
          <w:b/>
        </w:rPr>
        <w:t>project</w:t>
      </w:r>
      <w:r>
        <w:rPr/>
        <w:tab/>
        <w:t>Design, permit and construct 43 MW’s of gas fired generation at REU’s Clear Creek site with the intent of marketing the output of the unit to DWR under a 3 to 6 year tolling agreement.</w:t>
      </w:r>
    </w:p>
    <w:p>
      <w:pPr>
        <w:pStyle w:val="BodyTextIndent"/>
        <w:tabs>
          <w:tab w:val="clear" w:pos="1440"/>
          <w:tab w:val="left" w:pos="1260" w:leader="none"/>
        </w:tabs>
        <w:ind w:hanging="1260" w:start="1260" w:end="0"/>
        <w:jc w:val="both"/>
        <w:rPr/>
      </w:pPr>
      <w:r>
        <w:rPr>
          <w:b/>
        </w:rPr>
        <w:t>Unit</w:t>
        <w:tab/>
      </w:r>
      <w:r>
        <w:rPr>
          <w:bCs/>
        </w:rPr>
        <w:t>Propose the installation of an LM-6000 in simple cycle developing nominally 43 MW’s at a 10.3 MMBtu/MWh heat rate.</w:t>
      </w:r>
    </w:p>
    <w:p>
      <w:pPr>
        <w:pStyle w:val="Normal"/>
        <w:tabs>
          <w:tab w:val="clear" w:pos="720"/>
          <w:tab w:val="left" w:pos="1260" w:leader="none"/>
        </w:tabs>
        <w:spacing w:before="0" w:after="120"/>
        <w:ind w:hanging="1260" w:start="1260" w:end="0"/>
        <w:jc w:val="both"/>
        <w:rPr>
          <w:rFonts w:ascii="Times New Roman" w:hAnsi="Times New Roman" w:cs="Times New Roman"/>
        </w:rPr>
      </w:pPr>
      <w:r>
        <w:rPr>
          <w:rFonts w:cs="Times New Roman" w:ascii="Times New Roman" w:hAnsi="Times New Roman"/>
          <w:b/>
          <w:spacing w:val="0"/>
        </w:rPr>
        <w:t>ownership</w:t>
      </w:r>
      <w:r>
        <w:rPr>
          <w:rFonts w:cs="Times New Roman" w:ascii="Times New Roman" w:hAnsi="Times New Roman"/>
          <w:spacing w:val="0"/>
        </w:rPr>
        <w:tab/>
        <w:t>REU owns and operates the unit.</w:t>
      </w:r>
    </w:p>
    <w:p>
      <w:pPr>
        <w:pStyle w:val="BodyTextIndent"/>
        <w:tabs>
          <w:tab w:val="clear" w:pos="1440"/>
          <w:tab w:val="left" w:pos="1260" w:leader="none"/>
        </w:tabs>
        <w:spacing w:before="0" w:after="0"/>
        <w:ind w:hanging="1260" w:start="1260" w:end="0"/>
        <w:jc w:val="both"/>
        <w:rPr>
          <w:b/>
        </w:rPr>
      </w:pPr>
      <w:r>
        <w:rPr>
          <w:b/>
        </w:rPr>
        <w:t>ENA’s</w:t>
      </w:r>
    </w:p>
    <w:p>
      <w:pPr>
        <w:pStyle w:val="BodyTextIndent"/>
        <w:tabs>
          <w:tab w:val="clear" w:pos="1440"/>
          <w:tab w:val="left" w:pos="1260" w:leader="none"/>
        </w:tabs>
        <w:spacing w:before="0" w:after="0"/>
        <w:ind w:hanging="1260" w:start="1260" w:end="0"/>
        <w:jc w:val="both"/>
        <w:rPr/>
      </w:pPr>
      <w:r>
        <w:rPr>
          <w:b/>
        </w:rPr>
        <w:t>role</w:t>
      </w:r>
      <w:r>
        <w:rPr/>
        <w:tab/>
        <w:t>ENA facilitates the installation of 43 MW’s of gas fired generation at REU’s Clear Creek site.  This includes designing and permitting the project, securing equipment, contracts and ERC’s and negotiating a tolling agreement with DWR.  ENA also provides a firm, fixed price natural gas supply to REU’s plant gate to support the sale to DWR.</w:t>
      </w:r>
    </w:p>
    <w:p>
      <w:pPr>
        <w:pStyle w:val="BodyTextIndent"/>
        <w:tabs>
          <w:tab w:val="clear" w:pos="1440"/>
          <w:tab w:val="left" w:pos="1260" w:leader="none"/>
        </w:tabs>
        <w:spacing w:before="0" w:after="0"/>
        <w:ind w:hanging="1260" w:start="1260" w:end="0"/>
        <w:jc w:val="both"/>
        <w:rPr>
          <w:b/>
        </w:rPr>
      </w:pPr>
      <w:r>
        <w:rPr>
          <w:b/>
        </w:rPr>
        <w:t>REU’s</w:t>
      </w:r>
    </w:p>
    <w:p>
      <w:pPr>
        <w:pStyle w:val="BodyTextIndent"/>
        <w:tabs>
          <w:tab w:val="clear" w:pos="1440"/>
          <w:tab w:val="left" w:pos="1260" w:leader="none"/>
        </w:tabs>
        <w:spacing w:before="0" w:after="0"/>
        <w:ind w:hanging="1260" w:start="1260" w:end="0"/>
        <w:jc w:val="both"/>
        <w:rPr/>
      </w:pPr>
      <w:r>
        <w:rPr>
          <w:b/>
        </w:rPr>
        <w:t>role</w:t>
        <w:tab/>
      </w:r>
      <w:r>
        <w:rPr>
          <w:bCs/>
        </w:rPr>
        <w:t>REU assists in obtaining permits, easements, rights of ways and licenses reasonably necessary for the project’s water and fuel supplies, electricity interconnections and transmission towers and lines, steam supply, sewage and water discharge, access and condensate return.  Additionally, REU supports the project locally and with regulators and any oversight entities.</w:t>
      </w:r>
    </w:p>
    <w:p>
      <w:pPr>
        <w:pStyle w:val="BodyTextIndent"/>
        <w:tabs>
          <w:tab w:val="clear" w:pos="1440"/>
          <w:tab w:val="left" w:pos="1260" w:leader="none"/>
        </w:tabs>
        <w:spacing w:before="0" w:after="0"/>
        <w:ind w:hanging="1260" w:start="1260" w:end="0"/>
        <w:jc w:val="both"/>
        <w:rPr>
          <w:b/>
        </w:rPr>
      </w:pPr>
      <w:r>
        <w:rPr>
          <w:b/>
        </w:rPr>
        <w:t>off-take</w:t>
      </w:r>
    </w:p>
    <w:p>
      <w:pPr>
        <w:pStyle w:val="BodyTextIndent"/>
        <w:tabs>
          <w:tab w:val="clear" w:pos="1440"/>
          <w:tab w:val="left" w:pos="1260" w:leader="none"/>
        </w:tabs>
        <w:spacing w:before="0" w:after="0"/>
        <w:ind w:hanging="1267" w:start="1267" w:end="0"/>
        <w:jc w:val="both"/>
        <w:rPr>
          <w:b/>
        </w:rPr>
      </w:pPr>
      <w:r>
        <w:rPr>
          <w:b/>
        </w:rPr>
        <w:t>agreement</w:t>
        <w:tab/>
      </w:r>
      <w:r>
        <w:rPr>
          <w:bCs/>
        </w:rPr>
        <w:t>ENA negotiates a tolling agreement with DWR for a 3 to 6 year term at prices that substantially offset the installed cost of the project.</w:t>
      </w:r>
    </w:p>
    <w:p>
      <w:pPr>
        <w:pStyle w:val="BodyTextIndent"/>
        <w:tabs>
          <w:tab w:val="clear" w:pos="1440"/>
          <w:tab w:val="left" w:pos="1260" w:leader="none"/>
        </w:tabs>
        <w:spacing w:before="0" w:after="0"/>
        <w:ind w:hanging="1260" w:start="1260" w:end="0"/>
        <w:jc w:val="both"/>
        <w:rPr>
          <w:b/>
        </w:rPr>
      </w:pPr>
      <w:r>
        <w:rPr>
          <w:b/>
        </w:rPr>
        <w:t>gas</w:t>
      </w:r>
    </w:p>
    <w:p>
      <w:pPr>
        <w:pStyle w:val="BodyTextIndent"/>
        <w:tabs>
          <w:tab w:val="clear" w:pos="1440"/>
          <w:tab w:val="left" w:pos="1260" w:leader="none"/>
        </w:tabs>
        <w:spacing w:before="0" w:after="0"/>
        <w:ind w:hanging="1267" w:start="1267" w:end="0"/>
        <w:jc w:val="both"/>
        <w:rPr/>
      </w:pPr>
      <w:r>
        <w:rPr>
          <w:b/>
        </w:rPr>
        <w:t>supply</w:t>
        <w:tab/>
      </w:r>
      <w:r>
        <w:rPr>
          <w:bCs/>
        </w:rPr>
        <w:t>ENA provides a fixed priced gas supply to REU’s plant gate that supports the sale of power to DWR from the proposed unit.  The term of delivery of the gas supply will be coincident with that of the power sale to DWR.</w:t>
      </w:r>
      <w:r>
        <w:br w:type="page"/>
      </w:r>
    </w:p>
    <w:p>
      <w:pPr>
        <w:pStyle w:val="Heading5"/>
        <w:spacing w:before="0" w:after="240"/>
        <w:ind w:hanging="0" w:start="0"/>
        <w:rPr>
          <w:sz w:val="40"/>
        </w:rPr>
      </w:pPr>
      <w:r>
        <w:rPr>
          <w:sz w:val="40"/>
        </w:rPr>
        <w:t>Term sheet</w:t>
      </w:r>
    </w:p>
    <w:p>
      <w:pPr>
        <w:pStyle w:val="Heading5"/>
        <w:ind w:hanging="0" w:start="0"/>
        <w:rPr>
          <w:rFonts w:ascii="Times New Roman" w:hAnsi="Times New Roman" w:cs="Times New Roman"/>
          <w:caps w:val="false"/>
          <w:smallCaps w:val="false"/>
          <w:sz w:val="36"/>
        </w:rPr>
      </w:pPr>
      <w:r>
        <w:rPr>
          <w:rFonts w:cs="Times New Roman" w:ascii="Times New Roman" w:hAnsi="Times New Roman"/>
          <w:caps w:val="false"/>
          <w:smallCaps w:val="false"/>
          <w:sz w:val="36"/>
        </w:rPr>
        <w:t>Development of Peaking Gas-Fired Generation at</w:t>
      </w:r>
    </w:p>
    <w:p>
      <w:pPr>
        <w:pStyle w:val="Heading5"/>
        <w:spacing w:before="0" w:after="240"/>
        <w:ind w:hanging="0" w:start="0"/>
        <w:rPr>
          <w:rFonts w:ascii="Times New Roman" w:hAnsi="Times New Roman" w:cs="Times New Roman"/>
          <w:caps w:val="false"/>
          <w:smallCaps w:val="false"/>
          <w:sz w:val="36"/>
        </w:rPr>
      </w:pPr>
      <w:r>
        <w:rPr>
          <w:rFonts w:cs="Times New Roman" w:ascii="Times New Roman" w:hAnsi="Times New Roman"/>
          <w:caps w:val="false"/>
          <w:smallCaps w:val="false"/>
          <w:sz w:val="36"/>
        </w:rPr>
        <w:t>Redding Electric Utility’s Clear Creek Site</w:t>
      </w:r>
    </w:p>
    <w:p>
      <w:pPr>
        <w:pStyle w:val="BodyTextIndent"/>
        <w:tabs>
          <w:tab w:val="clear" w:pos="1440"/>
          <w:tab w:val="left" w:pos="1260" w:leader="none"/>
        </w:tabs>
        <w:spacing w:before="0" w:after="0"/>
        <w:ind w:hanging="1267" w:start="1267" w:end="0"/>
        <w:jc w:val="both"/>
        <w:rPr>
          <w:rFonts w:ascii="Times New Roman" w:hAnsi="Times New Roman" w:cs="Times New Roman"/>
          <w:b/>
          <w:caps/>
          <w:sz w:val="36"/>
        </w:rPr>
      </w:pPr>
      <w:r>
        <w:rPr>
          <w:rFonts w:cs="Times New Roman"/>
          <w:b/>
          <w:caps/>
          <w:sz w:val="36"/>
        </w:rPr>
      </w:r>
    </w:p>
    <w:p>
      <w:pPr>
        <w:pStyle w:val="BodyTextIndent"/>
        <w:tabs>
          <w:tab w:val="clear" w:pos="1440"/>
          <w:tab w:val="left" w:pos="1260" w:leader="none"/>
        </w:tabs>
        <w:spacing w:before="0" w:after="0"/>
        <w:ind w:hanging="1267" w:start="1267" w:end="0"/>
        <w:jc w:val="both"/>
        <w:rPr>
          <w:b/>
        </w:rPr>
      </w:pPr>
      <w:r>
        <w:rPr>
          <w:b/>
        </w:rPr>
        <w:t>value</w:t>
      </w:r>
    </w:p>
    <w:p>
      <w:pPr>
        <w:pStyle w:val="BodyTextIndent"/>
        <w:tabs>
          <w:tab w:val="clear" w:pos="1440"/>
          <w:tab w:val="left" w:pos="1260" w:leader="none"/>
        </w:tabs>
        <w:ind w:hanging="1260" w:start="1260" w:end="0"/>
        <w:jc w:val="both"/>
        <w:rPr/>
      </w:pPr>
      <w:r>
        <w:rPr>
          <w:b/>
        </w:rPr>
        <w:t>proposition</w:t>
        <w:tab/>
      </w:r>
      <w:r>
        <w:rPr>
          <w:bCs/>
        </w:rPr>
        <w:t>REU realizes 100% of the payment stream from DWR as an offset to the installed cost of the unit and 100% of the benefit of energy sales.</w:t>
      </w:r>
    </w:p>
    <w:p>
      <w:pPr>
        <w:pStyle w:val="BodyTextIndent"/>
        <w:tabs>
          <w:tab w:val="clear" w:pos="1440"/>
          <w:tab w:val="left" w:pos="1260" w:leader="none"/>
        </w:tabs>
        <w:ind w:hanging="1260" w:start="1260" w:end="0"/>
        <w:jc w:val="both"/>
        <w:rPr/>
      </w:pPr>
      <w:r>
        <w:rPr>
          <w:b/>
        </w:rPr>
        <w:tab/>
      </w:r>
      <w:r>
        <w:rPr>
          <w:bCs/>
        </w:rPr>
        <w:t>ENA is paid an incentive fee commensurate to its contribution.</w:t>
      </w:r>
    </w:p>
    <w:p>
      <w:pPr>
        <w:pStyle w:val="BodyText"/>
        <w:spacing w:before="0" w:after="0"/>
        <w:rPr>
          <w:rFonts w:ascii="Times New Roman" w:hAnsi="Times New Roman" w:cs="Times New Roman"/>
          <w:bCs/>
          <w:i/>
          <w:i/>
        </w:rPr>
      </w:pPr>
      <w:r>
        <w:rPr>
          <w:rFonts w:cs="Times New Roman" w:ascii="Times New Roman" w:hAnsi="Times New Roman"/>
          <w:bCs/>
          <w:i/>
        </w:rPr>
      </w:r>
    </w:p>
    <w:p>
      <w:pPr>
        <w:pStyle w:val="BodyText"/>
        <w:spacing w:before="0" w:after="0"/>
        <w:rPr>
          <w:rFonts w:ascii="Times New Roman" w:hAnsi="Times New Roman" w:cs="Times New Roman"/>
          <w:i/>
          <w:i/>
        </w:rPr>
      </w:pPr>
      <w:r>
        <w:rPr>
          <w:rFonts w:cs="Times New Roman" w:ascii="Times New Roman" w:hAnsi="Times New Roman"/>
          <w:i/>
        </w:rPr>
      </w:r>
    </w:p>
    <w:p>
      <w:pPr>
        <w:pStyle w:val="BodyText"/>
        <w:spacing w:before="0" w:after="0"/>
        <w:rPr>
          <w:rFonts w:ascii="Times New Roman" w:hAnsi="Times New Roman" w:cs="Times New Roman"/>
          <w:i/>
          <w:i/>
        </w:rPr>
      </w:pPr>
      <w:r>
        <w:rPr>
          <w:rFonts w:cs="Times New Roman" w:ascii="Times New Roman" w:hAnsi="Times New Roman"/>
          <w:i/>
        </w:rPr>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This is not an offer or commitment of any Enron entity.  The proposal described here is subject to further review and approval of Enron North America’s Board of Directors and Legal Counsel and execution of definitive agreements containing mutually satisfactory provisions, including those relating to credit and limitation of damages.</w:t>
      </w:r>
    </w:p>
    <w:sectPr>
      <w:headerReference w:type="default" r:id="rId2"/>
      <w:headerReference w:type="first" r:id="rId3"/>
      <w:footerReference w:type="default" r:id="rId4"/>
      <w:footerReference w:type="first" r:id="rId5"/>
      <w:type w:val="nextPage"/>
      <w:pgSz w:w="12240" w:h="15840"/>
      <w:pgMar w:left="1152" w:right="1152" w:gutter="0" w:header="432" w:top="1296"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47.8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drawing>
        <wp:inline distT="0" distB="0" distL="0" distR="0">
          <wp:extent cx="823595" cy="82359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39" t="-39" r="-39" b="-39"/>
                  <a:stretch>
                    <a:fillRect/>
                  </a:stretch>
                </pic:blipFill>
                <pic:spPr bwMode="auto">
                  <a:xfrm>
                    <a:off x="0" y="0"/>
                    <a:ext cx="823595" cy="823595"/>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drawing>
        <wp:inline distT="0" distB="0" distL="0" distR="0">
          <wp:extent cx="823595" cy="8235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9" t="-39" r="-39" b="-39"/>
                  <a:stretch>
                    <a:fillRect/>
                  </a:stretch>
                </pic:blipFill>
                <pic:spPr bwMode="auto">
                  <a:xfrm>
                    <a:off x="0" y="0"/>
                    <a:ext cx="823595" cy="82359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3"/>
      <w:sz w:val="24"/>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8"/>
    </w:rPr>
  </w:style>
  <w:style w:type="paragraph" w:styleId="Heading2">
    <w:name w:val="heading 2"/>
    <w:basedOn w:val="Normal"/>
    <w:next w:val="Normal"/>
    <w:qFormat/>
    <w:pPr>
      <w:keepNext w:val="true"/>
      <w:numPr>
        <w:ilvl w:val="1"/>
        <w:numId w:val="1"/>
      </w:numPr>
      <w:spacing w:before="0" w:after="120"/>
      <w:jc w:val="both"/>
      <w:outlineLvl w:val="1"/>
    </w:pPr>
    <w:rPr>
      <w:b/>
    </w:rPr>
  </w:style>
  <w:style w:type="paragraph" w:styleId="Heading3">
    <w:name w:val="heading 3"/>
    <w:basedOn w:val="Normal"/>
    <w:next w:val="Normal"/>
    <w:qFormat/>
    <w:pPr>
      <w:keepNext w:val="true"/>
      <w:numPr>
        <w:ilvl w:val="2"/>
        <w:numId w:val="1"/>
      </w:numPr>
      <w:spacing w:lineRule="atLeast" w:line="240" w:before="0" w:after="120"/>
      <w:outlineLvl w:val="2"/>
    </w:pPr>
    <w:rPr>
      <w:rFonts w:ascii="Helv" w:hAnsi="Helv" w:cs="Helv"/>
      <w:color w:val="000000"/>
      <w:u w:val="single"/>
    </w:rPr>
  </w:style>
  <w:style w:type="paragraph" w:styleId="Heading4">
    <w:name w:val="heading 4"/>
    <w:basedOn w:val="Normal"/>
    <w:next w:val="Normal"/>
    <w:qFormat/>
    <w:pPr>
      <w:keepNext w:val="true"/>
      <w:numPr>
        <w:ilvl w:val="3"/>
        <w:numId w:val="1"/>
      </w:numPr>
      <w:spacing w:before="0" w:after="120"/>
      <w:jc w:val="both"/>
      <w:outlineLvl w:val="3"/>
    </w:pPr>
    <w:rPr>
      <w:b/>
      <w:sz w:val="28"/>
    </w:rPr>
  </w:style>
  <w:style w:type="paragraph" w:styleId="Heading5">
    <w:name w:val="heading 5"/>
    <w:basedOn w:val="Normal"/>
    <w:next w:val="Normal"/>
    <w:qFormat/>
    <w:pPr>
      <w:keepNext w:val="true"/>
      <w:numPr>
        <w:ilvl w:val="4"/>
        <w:numId w:val="1"/>
      </w:numPr>
      <w:jc w:val="center"/>
      <w:outlineLvl w:val="4"/>
    </w:pPr>
    <w:rPr>
      <w:b/>
      <w:caps/>
      <w:sz w:val="32"/>
    </w:rPr>
  </w:style>
  <w:style w:type="paragraph" w:styleId="Heading6">
    <w:name w:val="heading 6"/>
    <w:basedOn w:val="Normal"/>
    <w:next w:val="Normal"/>
    <w:qFormat/>
    <w:pPr>
      <w:keepNext w:val="true"/>
      <w:numPr>
        <w:ilvl w:val="5"/>
        <w:numId w:val="1"/>
      </w:numPr>
      <w:outlineLvl w:val="5"/>
    </w:pPr>
    <w:rPr>
      <w:b/>
      <w:u w:val="single"/>
    </w:rPr>
  </w:style>
  <w:style w:type="paragraph" w:styleId="Heading7">
    <w:name w:val="heading 7"/>
    <w:basedOn w:val="Normal"/>
    <w:next w:val="Normal"/>
    <w:qFormat/>
    <w:pPr>
      <w:keepNext w:val="true"/>
      <w:numPr>
        <w:ilvl w:val="6"/>
        <w:numId w:val="1"/>
      </w:numPr>
      <w:spacing w:before="0" w:after="120"/>
      <w:ind w:hanging="1354" w:start="1354" w:end="0"/>
      <w:jc w:val="both"/>
      <w:outlineLvl w:val="6"/>
    </w:pPr>
    <w:rPr>
      <w:rFonts w:ascii="Times New Roman" w:hAnsi="Times New Roman" w:cs="Times New Roman"/>
      <w:b/>
      <w:spacing w:val="0"/>
    </w:rPr>
  </w:style>
  <w:style w:type="paragraph" w:styleId="Heading8">
    <w:name w:val="heading 8"/>
    <w:basedOn w:val="Normal"/>
    <w:next w:val="Normal"/>
    <w:qFormat/>
    <w:pPr>
      <w:keepNext w:val="true"/>
      <w:numPr>
        <w:ilvl w:val="7"/>
        <w:numId w:val="1"/>
      </w:numPr>
      <w:tabs>
        <w:tab w:val="clear" w:pos="720"/>
        <w:tab w:val="left" w:pos="1350" w:leader="none"/>
      </w:tabs>
      <w:spacing w:before="0" w:after="120"/>
      <w:ind w:hanging="1350" w:start="1350" w:end="0"/>
      <w:jc w:val="both"/>
      <w:outlineLvl w:val="7"/>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trike w:val="false"/>
      <w:dstrike w:val="false"/>
      <w:position w:val="0"/>
      <w:sz w:val="24"/>
      <w:sz w:val="24"/>
      <w:vertAlign w:val="baseli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7z0">
    <w:name w:val="WW8Num27z0"/>
    <w:qFormat/>
    <w:rPr/>
  </w:style>
  <w:style w:type="character" w:styleId="WW8Num28z0">
    <w:name w:val="WW8Num28z0"/>
    <w:qFormat/>
    <w:rPr>
      <w:u w:val="no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color w:val="auto"/>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b w:val="false"/>
      <w:i w:val="false"/>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Times New Roman" w:hAnsi="Times New Roman" w:cs="Times New Roman"/>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w:hAnsi="Times New Roman" w:cs="Times New Roman"/>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9z0">
    <w:name w:val="WW8Num8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next w:val="Normal"/>
    <w:qFormat/>
    <w:pPr>
      <w:spacing w:before="480" w:after="360"/>
      <w:jc w:val="both"/>
    </w:pPr>
    <w:rPr>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i/>
    </w:rPr>
  </w:style>
  <w:style w:type="paragraph" w:styleId="BodyTextIndent">
    <w:name w:val="Body Text Indent"/>
    <w:basedOn w:val="Normal"/>
    <w:pPr>
      <w:tabs>
        <w:tab w:val="clear" w:pos="720"/>
        <w:tab w:val="left" w:pos="1440" w:leader="none"/>
      </w:tabs>
      <w:spacing w:before="0" w:after="120"/>
      <w:ind w:hanging="1440" w:start="1440" w:end="0"/>
    </w:pPr>
    <w:rPr>
      <w:rFonts w:ascii="Times New Roman" w:hAnsi="Times New Roman" w:cs="Times New Roman"/>
      <w:spacing w:val="0"/>
    </w:rPr>
  </w:style>
  <w:style w:type="paragraph" w:styleId="BodyTextIndent2">
    <w:name w:val="Body Text Indent 2"/>
    <w:basedOn w:val="Normal"/>
    <w:qFormat/>
    <w:pPr>
      <w:tabs>
        <w:tab w:val="clear" w:pos="720"/>
        <w:tab w:val="left" w:pos="1350" w:leader="none"/>
      </w:tabs>
      <w:ind w:hanging="0" w:start="1350" w:end="0"/>
    </w:pPr>
    <w:rPr>
      <w:rFonts w:ascii="Times New Roman" w:hAnsi="Times New Roman" w:cs="Times New Roman"/>
      <w:spacing w:val="0"/>
    </w:rPr>
  </w:style>
  <w:style w:type="paragraph" w:styleId="BodyTextIndent3">
    <w:name w:val="Body Text Indent 3"/>
    <w:basedOn w:val="Normal"/>
    <w:qFormat/>
    <w:pPr>
      <w:tabs>
        <w:tab w:val="clear" w:pos="720"/>
        <w:tab w:val="left" w:pos="1350" w:leader="none"/>
      </w:tabs>
      <w:spacing w:before="0" w:after="120"/>
      <w:ind w:hanging="4" w:start="1354" w:end="0"/>
      <w:jc w:val="both"/>
    </w:pPr>
    <w:rPr>
      <w:rFonts w:ascii="Times New Roman" w:hAnsi="Times New Roman" w:cs="Times New Roman"/>
      <w:spacing w:val="0"/>
    </w:rPr>
  </w:style>
  <w:style w:type="paragraph" w:styleId="BodyText3">
    <w:name w:val="Body Text 3"/>
    <w:basedOn w:val="Normal"/>
    <w:qFormat/>
    <w:pPr>
      <w:jc w:val="center"/>
    </w:pPr>
    <w:rPr>
      <w:rFonts w:ascii="Times New Roman" w:hAnsi="Times New Roman" w:cs="Times New Roman"/>
      <w:b/>
      <w:bCs/>
      <w:caps/>
      <w:sz w:val="3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2001-03-27T14:15:00Z</dcterms:created>
  <dc:creator>Laird Dyer</dc:creator>
  <dc:description/>
  <dc:language>en-CA</dc:language>
  <cp:lastModifiedBy>ldyer</cp:lastModifiedBy>
  <cp:lastPrinted>2001-03-27T09:48:00Z</cp:lastPrinted>
  <dcterms:modified xsi:type="dcterms:W3CDTF">2001-03-27T16:22:00Z</dcterms:modified>
  <cp:revision>26</cp:revision>
  <dc:subject/>
  <dc:title>March 31, 1999</dc:title>
</cp:coreProperties>
</file>