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sz w:val="36"/>
        </w:rPr>
        <w:t>Project Phoenix</w:t>
      </w:r>
    </w:p>
    <w:p>
      <w:pPr>
        <w:pStyle w:val="Normal"/>
        <w:rPr>
          <w:sz w:val="36"/>
        </w:rPr>
      </w:pPr>
      <w:r>
        <w:rPr>
          <w:sz w:val="36"/>
        </w:rPr>
      </w:r>
    </w:p>
    <w:tbl>
      <w:tblPr>
        <w:tblW w:w="17496" w:type="dxa"/>
        <w:jc w:val="start"/>
        <w:tblInd w:w="0" w:type="dxa"/>
        <w:tblLayout w:type="fixed"/>
        <w:tblCellMar>
          <w:top w:w="0" w:type="dxa"/>
          <w:start w:w="108" w:type="dxa"/>
          <w:bottom w:w="0" w:type="dxa"/>
          <w:end w:w="108" w:type="dxa"/>
        </w:tblCellMar>
      </w:tblPr>
      <w:tblGrid>
        <w:gridCol w:w="3499"/>
        <w:gridCol w:w="3499"/>
        <w:gridCol w:w="3499"/>
        <w:gridCol w:w="3499"/>
        <w:gridCol w:w="3500"/>
      </w:tblGrid>
      <w:tr>
        <w:trPr/>
        <w:tc>
          <w:tcPr>
            <w:tcW w:w="3499" w:type="dxa"/>
            <w:tcBorders>
              <w:top w:val="single" w:sz="4" w:space="0" w:color="000000"/>
              <w:start w:val="single" w:sz="4" w:space="0" w:color="000000"/>
              <w:bottom w:val="single" w:sz="4" w:space="0" w:color="000000"/>
              <w:end w:val="single" w:sz="4" w:space="0" w:color="000000"/>
            </w:tcBorders>
          </w:tcPr>
          <w:p>
            <w:pPr>
              <w:pStyle w:val="Subtitle"/>
              <w:rPr/>
            </w:pPr>
            <w:r>
              <w:rPr/>
              <w:t>Project Overview Module</w:t>
            </w:r>
          </w:p>
        </w:tc>
        <w:tc>
          <w:tcPr>
            <w:tcW w:w="6998" w:type="dxa"/>
            <w:gridSpan w:val="2"/>
            <w:tcBorders>
              <w:top w:val="single" w:sz="4" w:space="0" w:color="000000"/>
              <w:start w:val="single" w:sz="4" w:space="0" w:color="000000"/>
              <w:bottom w:val="single" w:sz="4" w:space="0" w:color="000000"/>
              <w:end w:val="single" w:sz="4" w:space="0" w:color="000000"/>
            </w:tcBorders>
          </w:tcPr>
          <w:p>
            <w:pPr>
              <w:pStyle w:val="Heading2"/>
              <w:ind w:hanging="0" w:start="0"/>
              <w:rPr>
                <w:color w:val="000080"/>
              </w:rPr>
            </w:pPr>
            <w:r>
              <w:rPr>
                <w:color w:val="000080"/>
              </w:rPr>
              <w:t>Generation Module</w:t>
            </w:r>
          </w:p>
        </w:tc>
        <w:tc>
          <w:tcPr>
            <w:tcW w:w="3499"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80"/>
              </w:rPr>
            </w:pPr>
            <w:r>
              <w:rPr>
                <w:color w:val="000080"/>
              </w:rPr>
              <w:t>ISO-Trans-Dist.  Module</w:t>
            </w:r>
          </w:p>
        </w:tc>
        <w:tc>
          <w:tcPr>
            <w:tcW w:w="3500" w:type="dxa"/>
            <w:tcBorders>
              <w:top w:val="single" w:sz="4" w:space="0" w:color="000000"/>
              <w:start w:val="single" w:sz="4" w:space="0" w:color="000000"/>
              <w:bottom w:val="single" w:sz="4" w:space="0" w:color="000000"/>
              <w:end w:val="single" w:sz="4" w:space="0" w:color="000000"/>
            </w:tcBorders>
          </w:tcPr>
          <w:p>
            <w:pPr>
              <w:pStyle w:val="Heading2"/>
              <w:ind w:hanging="0" w:start="0"/>
              <w:rPr>
                <w:color w:val="000080"/>
              </w:rPr>
            </w:pPr>
            <w:r>
              <w:rPr>
                <w:color w:val="000080"/>
              </w:rPr>
              <w:t>Licensing Module</w:t>
            </w:r>
          </w:p>
        </w:tc>
      </w:tr>
      <w:tr>
        <w:trPr/>
        <w:tc>
          <w:tcPr>
            <w:tcW w:w="349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80"/>
              </w:rPr>
            </w:pPr>
            <w:r>
              <w:rPr>
                <w:color w:val="000080"/>
              </w:rPr>
            </w:r>
          </w:p>
        </w:tc>
        <w:tc>
          <w:tcPr>
            <w:tcW w:w="3499"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QF Section</w:t>
            </w:r>
          </w:p>
        </w:tc>
        <w:tc>
          <w:tcPr>
            <w:tcW w:w="3499"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PPA/Merchant Section</w:t>
            </w:r>
          </w:p>
        </w:tc>
        <w:tc>
          <w:tcPr>
            <w:tcW w:w="3499" w:type="dxa"/>
            <w:tcBorders>
              <w:top w:val="single" w:sz="4" w:space="0" w:color="000000"/>
              <w:start w:val="single" w:sz="4" w:space="0" w:color="000000"/>
              <w:bottom w:val="single" w:sz="4" w:space="0" w:color="000000"/>
              <w:end w:val="single" w:sz="4" w:space="0" w:color="000000"/>
            </w:tcBorders>
          </w:tcPr>
          <w:p>
            <w:pPr>
              <w:pStyle w:val="Normal"/>
              <w:snapToGrid w:val="false"/>
              <w:rPr>
                <w:color w:val="993300"/>
              </w:rPr>
            </w:pPr>
            <w:r>
              <w:rPr>
                <w:color w:val="993300"/>
              </w:rPr>
            </w:r>
          </w:p>
        </w:tc>
        <w:tc>
          <w:tcPr>
            <w:tcW w:w="3500" w:type="dxa"/>
            <w:tcBorders>
              <w:top w:val="single" w:sz="4" w:space="0" w:color="000000"/>
              <w:start w:val="single" w:sz="4" w:space="0" w:color="000000"/>
              <w:bottom w:val="single" w:sz="4" w:space="0" w:color="000000"/>
              <w:end w:val="single" w:sz="4" w:space="0" w:color="000000"/>
            </w:tcBorders>
          </w:tcPr>
          <w:p>
            <w:pPr>
              <w:pStyle w:val="Normal"/>
              <w:snapToGrid w:val="false"/>
              <w:rPr>
                <w:color w:val="993300"/>
              </w:rPr>
            </w:pPr>
            <w:r>
              <w:rPr>
                <w:color w:val="993300"/>
              </w:rPr>
            </w:r>
          </w:p>
        </w:tc>
      </w:tr>
      <w:tr>
        <w:trPr/>
        <w:tc>
          <w:tcPr>
            <w:tcW w:w="3499" w:type="dxa"/>
            <w:tcBorders>
              <w:top w:val="single" w:sz="4" w:space="0" w:color="000000"/>
              <w:start w:val="single" w:sz="4" w:space="0" w:color="000000"/>
              <w:bottom w:val="single" w:sz="4" w:space="0" w:color="000000"/>
              <w:end w:val="single" w:sz="4" w:space="0" w:color="000000"/>
            </w:tcBorders>
          </w:tcPr>
          <w:p>
            <w:pPr>
              <w:pStyle w:val="BodyText2"/>
              <w:jc w:val="both"/>
              <w:rPr>
                <w:color w:val="003366"/>
                <w:sz w:val="22"/>
              </w:rPr>
            </w:pPr>
            <w:r>
              <w:rPr>
                <w:color w:val="000080"/>
                <w:sz w:val="22"/>
              </w:rPr>
              <w:t>In effect, this section determines the scope of work in the project as it determines the areas that shall be covered, and thus target the document and limit it.  It should fulfill the following:</w:t>
            </w:r>
          </w:p>
          <w:p>
            <w:pPr>
              <w:pStyle w:val="BodyText2"/>
              <w:rPr>
                <w:color w:val="003366"/>
                <w:sz w:val="22"/>
              </w:rPr>
            </w:pPr>
            <w:r>
              <w:rPr>
                <w:color w:val="003366"/>
                <w:sz w:val="22"/>
              </w:rPr>
            </w:r>
          </w:p>
          <w:p>
            <w:pPr>
              <w:pStyle w:val="BodyText2"/>
              <w:numPr>
                <w:ilvl w:val="0"/>
                <w:numId w:val="5"/>
              </w:numPr>
              <w:tabs>
                <w:tab w:val="left" w:pos="720" w:leader="none"/>
              </w:tabs>
              <w:ind w:hanging="360" w:start="720" w:end="0"/>
              <w:rPr>
                <w:color w:val="000080"/>
                <w:sz w:val="22"/>
              </w:rPr>
            </w:pPr>
            <w:r>
              <w:rPr>
                <w:color w:val="000080"/>
                <w:sz w:val="22"/>
              </w:rPr>
              <w:t>Determine the nature of the generation asset (e.g., Greenfield, IPP, QF).</w:t>
            </w:r>
          </w:p>
          <w:p>
            <w:pPr>
              <w:pStyle w:val="Normal"/>
              <w:numPr>
                <w:ilvl w:val="0"/>
                <w:numId w:val="5"/>
              </w:numPr>
              <w:tabs>
                <w:tab w:val="left" w:pos="720" w:leader="none"/>
              </w:tabs>
              <w:ind w:hanging="360" w:start="720" w:end="0"/>
              <w:rPr>
                <w:color w:val="000080"/>
                <w:sz w:val="22"/>
              </w:rPr>
            </w:pPr>
            <w:r>
              <w:rPr>
                <w:color w:val="000080"/>
                <w:sz w:val="22"/>
              </w:rPr>
              <w:t>Determine the nature of the Customer (e.g. transmission customer, distribution customer, PPA)</w:t>
            </w:r>
          </w:p>
          <w:p>
            <w:pPr>
              <w:pStyle w:val="BodyText2"/>
              <w:numPr>
                <w:ilvl w:val="0"/>
                <w:numId w:val="5"/>
              </w:numPr>
              <w:tabs>
                <w:tab w:val="left" w:pos="720" w:leader="none"/>
              </w:tabs>
              <w:ind w:hanging="360" w:start="720" w:end="0"/>
              <w:rPr>
                <w:color w:val="000080"/>
                <w:sz w:val="22"/>
              </w:rPr>
            </w:pPr>
            <w:r>
              <w:rPr>
                <w:color w:val="000080"/>
                <w:sz w:val="22"/>
              </w:rPr>
              <w:t>Determine the coverage of the regulatory coverage needed (which jurisdiction the transaction is subject to).</w:t>
            </w:r>
          </w:p>
          <w:p>
            <w:pPr>
              <w:pStyle w:val="BodyText2"/>
              <w:numPr>
                <w:ilvl w:val="0"/>
                <w:numId w:val="5"/>
              </w:numPr>
              <w:tabs>
                <w:tab w:val="left" w:pos="720" w:leader="none"/>
              </w:tabs>
              <w:ind w:hanging="360" w:start="720" w:end="0"/>
              <w:rPr>
                <w:color w:val="000080"/>
                <w:sz w:val="22"/>
              </w:rPr>
            </w:pPr>
            <w:r>
              <w:rPr>
                <w:color w:val="000080"/>
                <w:sz w:val="22"/>
              </w:rPr>
              <w:t>Determine the different market components on which the transaction is dependent upon (e.g., which ISO, transmission system, which distribution system).</w:t>
            </w:r>
          </w:p>
          <w:p>
            <w:pPr>
              <w:pStyle w:val="Normal"/>
              <w:rPr>
                <w:color w:val="000080"/>
                <w:sz w:val="22"/>
              </w:rPr>
            </w:pPr>
            <w:r>
              <w:rPr>
                <w:color w:val="000080"/>
                <w:sz w:val="22"/>
              </w:rPr>
            </w:r>
          </w:p>
        </w:tc>
        <w:tc>
          <w:tcPr>
            <w:tcW w:w="3499" w:type="dxa"/>
            <w:tcBorders>
              <w:top w:val="single" w:sz="4" w:space="0" w:color="000000"/>
              <w:start w:val="single" w:sz="4" w:space="0" w:color="000000"/>
              <w:bottom w:val="single" w:sz="4" w:space="0" w:color="000000"/>
              <w:end w:val="single" w:sz="4" w:space="0" w:color="000000"/>
            </w:tcBorders>
          </w:tcPr>
          <w:p>
            <w:pPr>
              <w:pStyle w:val="Normal"/>
              <w:rPr/>
            </w:pPr>
            <w:r>
              <w:rPr>
                <w:color w:val="993300"/>
                <w:u w:val="single"/>
              </w:rPr>
              <w:t xml:space="preserve">Contractual </w:t>
            </w:r>
            <w:commentRangeStart w:id="0"/>
            <w:r>
              <w:rPr>
                <w:color w:val="993300"/>
                <w:u w:val="single"/>
              </w:rPr>
              <w:t>Issues</w:t>
            </w:r>
            <w:r>
              <w:rPr>
                <w:rStyle w:val="CommentReference"/>
                <w:vanish w:val="false"/>
              </w:rPr>
            </w:r>
            <w:commentRangeEnd w:id="0"/>
            <w:r>
              <w:commentReference w:id="0"/>
            </w:r>
            <w:r>
              <w:rPr>
                <w:color w:val="993300"/>
              </w:rPr>
              <w:t>.</w:t>
            </w:r>
          </w:p>
          <w:p>
            <w:pPr>
              <w:pStyle w:val="Normal"/>
              <w:numPr>
                <w:ilvl w:val="0"/>
                <w:numId w:val="3"/>
              </w:numPr>
              <w:rPr>
                <w:color w:val="993300"/>
              </w:rPr>
            </w:pPr>
            <w:r>
              <w:rPr>
                <w:color w:val="993300"/>
              </w:rPr>
              <w:t>Is there a “regulatory out provision” in the contract?  In other words, can regulatory action be used to support a suspension of a party’s rights or obligations?</w:t>
            </w:r>
          </w:p>
          <w:p>
            <w:pPr>
              <w:pStyle w:val="Normal"/>
              <w:numPr>
                <w:ilvl w:val="0"/>
                <w:numId w:val="3"/>
              </w:numPr>
              <w:rPr>
                <w:color w:val="993300"/>
              </w:rPr>
            </w:pPr>
            <w:r>
              <w:rPr>
                <w:color w:val="993300"/>
              </w:rPr>
              <w:t>Is this provision reflected adequately in the Force majeure clause?</w:t>
            </w:r>
          </w:p>
          <w:p>
            <w:pPr>
              <w:pStyle w:val="Normal"/>
              <w:numPr>
                <w:ilvl w:val="0"/>
                <w:numId w:val="3"/>
              </w:numPr>
              <w:rPr>
                <w:color w:val="993300"/>
              </w:rPr>
            </w:pPr>
            <w:r>
              <w:rPr>
                <w:color w:val="993300"/>
              </w:rPr>
              <w:t xml:space="preserve">Are the payment provisions subject to regulatory review or adjustment?  </w:t>
            </w:r>
          </w:p>
          <w:p>
            <w:pPr>
              <w:pStyle w:val="Normal"/>
              <w:numPr>
                <w:ilvl w:val="0"/>
                <w:numId w:val="3"/>
              </w:numPr>
              <w:rPr>
                <w:color w:val="993300"/>
              </w:rPr>
            </w:pPr>
            <w:r>
              <w:rPr>
                <w:color w:val="993300"/>
              </w:rPr>
              <w:t xml:space="preserve">Are their performance provisions in the contract that create an opportunity for leverage by the utility or by the regulatory commission against the facility?  </w:t>
            </w:r>
          </w:p>
          <w:p>
            <w:pPr>
              <w:pStyle w:val="Normal"/>
              <w:numPr>
                <w:ilvl w:val="0"/>
                <w:numId w:val="3"/>
              </w:numPr>
              <w:rPr>
                <w:color w:val="993300"/>
              </w:rPr>
            </w:pPr>
            <w:r>
              <w:rPr>
                <w:color w:val="993300"/>
              </w:rPr>
              <w:t>Are there requirements that the QF retain its QF status? What are the penalties if any for failure to maintain QF status?</w:t>
            </w:r>
          </w:p>
          <w:p>
            <w:pPr>
              <w:pStyle w:val="Normal"/>
              <w:numPr>
                <w:ilvl w:val="0"/>
                <w:numId w:val="3"/>
              </w:numPr>
              <w:rPr>
                <w:color w:val="993300"/>
              </w:rPr>
            </w:pPr>
            <w:r>
              <w:rPr>
                <w:color w:val="993300"/>
              </w:rPr>
              <w:t>Are there provisions in the contract subjecting the contract to regulatory commission jurisdiction?</w:t>
            </w:r>
          </w:p>
          <w:p>
            <w:pPr>
              <w:pStyle w:val="Normal"/>
              <w:numPr>
                <w:ilvl w:val="0"/>
                <w:numId w:val="3"/>
              </w:numPr>
              <w:rPr>
                <w:color w:val="993300"/>
              </w:rPr>
            </w:pPr>
            <w:r>
              <w:rPr>
                <w:color w:val="993300"/>
              </w:rPr>
              <w:t>What is the term of the contract?</w:t>
            </w:r>
          </w:p>
          <w:p>
            <w:pPr>
              <w:pStyle w:val="Normal"/>
              <w:rPr>
                <w:color w:val="993300"/>
              </w:rPr>
            </w:pPr>
            <w:r>
              <w:rPr>
                <w:color w:val="993300"/>
              </w:rPr>
            </w:r>
          </w:p>
          <w:p>
            <w:pPr>
              <w:pStyle w:val="Normal"/>
              <w:rPr>
                <w:color w:val="993300"/>
              </w:rPr>
            </w:pPr>
            <w:r>
              <w:rPr>
                <w:color w:val="993300"/>
              </w:rPr>
              <w:t>Issues pertaining to the reformation of the contract?</w:t>
            </w:r>
          </w:p>
          <w:p>
            <w:pPr>
              <w:pStyle w:val="Normal"/>
              <w:numPr>
                <w:ilvl w:val="0"/>
                <w:numId w:val="8"/>
              </w:numPr>
              <w:rPr>
                <w:color w:val="993300"/>
              </w:rPr>
            </w:pPr>
            <w:r>
              <w:rPr>
                <w:color w:val="993300"/>
              </w:rPr>
              <w:t>Are there provisions requiring commission approval of contract amendments?</w:t>
            </w:r>
          </w:p>
          <w:p>
            <w:pPr>
              <w:pStyle w:val="Normal"/>
              <w:numPr>
                <w:ilvl w:val="0"/>
                <w:numId w:val="8"/>
              </w:numPr>
              <w:rPr>
                <w:color w:val="993300"/>
              </w:rPr>
            </w:pPr>
            <w:r>
              <w:rPr>
                <w:color w:val="993300"/>
              </w:rPr>
              <w:t>Are there limitations on the amount of power that can be transferred over the interconnection?</w:t>
            </w:r>
          </w:p>
          <w:p>
            <w:pPr>
              <w:pStyle w:val="Normal"/>
              <w:numPr>
                <w:ilvl w:val="0"/>
                <w:numId w:val="8"/>
              </w:numPr>
              <w:rPr>
                <w:color w:val="993300"/>
              </w:rPr>
            </w:pPr>
            <w:r>
              <w:rPr>
                <w:color w:val="993300"/>
              </w:rPr>
              <w:t>Are there provisions limiting the configuration of the facility?</w:t>
            </w:r>
          </w:p>
          <w:p>
            <w:pPr>
              <w:pStyle w:val="Normal"/>
              <w:rPr>
                <w:color w:val="993300"/>
              </w:rPr>
            </w:pPr>
            <w:r>
              <w:rPr>
                <w:color w:val="993300"/>
              </w:rPr>
            </w:r>
          </w:p>
          <w:p>
            <w:pPr>
              <w:pStyle w:val="BodyText3"/>
              <w:rPr>
                <w:color w:val="993300"/>
              </w:rPr>
            </w:pPr>
            <w:r>
              <w:rPr>
                <w:color w:val="993300"/>
              </w:rPr>
              <w:t>Statutory Issues and Issues Raised by State Regulation.</w:t>
            </w:r>
          </w:p>
          <w:p>
            <w:pPr>
              <w:pStyle w:val="Normal"/>
              <w:numPr>
                <w:ilvl w:val="0"/>
                <w:numId w:val="6"/>
              </w:numPr>
              <w:rPr>
                <w:color w:val="993300"/>
              </w:rPr>
            </w:pPr>
            <w:r>
              <w:rPr>
                <w:color w:val="993300"/>
              </w:rPr>
              <w:t>Is there a restructuring statute?</w:t>
            </w:r>
          </w:p>
          <w:p>
            <w:pPr>
              <w:pStyle w:val="Normal"/>
              <w:numPr>
                <w:ilvl w:val="0"/>
                <w:numId w:val="6"/>
              </w:numPr>
              <w:rPr>
                <w:color w:val="993300"/>
              </w:rPr>
            </w:pPr>
            <w:r>
              <w:rPr>
                <w:color w:val="993300"/>
              </w:rPr>
              <w:t>Does it maintain the sanctity of QF contracts—express or implied?</w:t>
            </w:r>
          </w:p>
          <w:p>
            <w:pPr>
              <w:pStyle w:val="Normal"/>
              <w:numPr>
                <w:ilvl w:val="0"/>
                <w:numId w:val="6"/>
              </w:numPr>
              <w:rPr>
                <w:color w:val="993300"/>
              </w:rPr>
            </w:pPr>
            <w:r>
              <w:rPr>
                <w:color w:val="993300"/>
              </w:rPr>
              <w:t xml:space="preserve">Does the statute provide for the recovery, dollar-for-dollar, of a utility’s payments to QFs?  </w:t>
            </w:r>
          </w:p>
          <w:p>
            <w:pPr>
              <w:pStyle w:val="Normal"/>
              <w:numPr>
                <w:ilvl w:val="0"/>
                <w:numId w:val="6"/>
              </w:numPr>
              <w:rPr>
                <w:color w:val="993300"/>
              </w:rPr>
            </w:pPr>
            <w:r>
              <w:rPr>
                <w:color w:val="993300"/>
              </w:rPr>
              <w:t>When does the market open?</w:t>
            </w:r>
          </w:p>
          <w:p>
            <w:pPr>
              <w:pStyle w:val="Normal"/>
              <w:numPr>
                <w:ilvl w:val="0"/>
                <w:numId w:val="6"/>
              </w:numPr>
              <w:rPr>
                <w:color w:val="993300"/>
              </w:rPr>
            </w:pPr>
            <w:r>
              <w:rPr>
                <w:color w:val="993300"/>
              </w:rPr>
              <w:t>Are there provisions that allow the “securitization” of stranded costs?</w:t>
            </w:r>
          </w:p>
          <w:p>
            <w:pPr>
              <w:pStyle w:val="Normal"/>
              <w:numPr>
                <w:ilvl w:val="0"/>
                <w:numId w:val="6"/>
              </w:numPr>
              <w:rPr>
                <w:color w:val="993300"/>
              </w:rPr>
            </w:pPr>
            <w:r>
              <w:rPr>
                <w:color w:val="993300"/>
              </w:rPr>
              <w:t xml:space="preserve">Is there a formal incentive to reform contracts?  </w:t>
            </w:r>
          </w:p>
          <w:p>
            <w:pPr>
              <w:pStyle w:val="Normal"/>
              <w:numPr>
                <w:ilvl w:val="0"/>
                <w:numId w:val="6"/>
              </w:numPr>
              <w:rPr>
                <w:color w:val="993300"/>
              </w:rPr>
            </w:pPr>
            <w:r>
              <w:rPr>
                <w:color w:val="993300"/>
              </w:rPr>
              <w:t>Will the stranded cost determination undermine efforts to value a buy out?  .</w:t>
            </w:r>
          </w:p>
          <w:p>
            <w:pPr>
              <w:pStyle w:val="Normal"/>
              <w:numPr>
                <w:ilvl w:val="0"/>
                <w:numId w:val="6"/>
              </w:numPr>
              <w:rPr>
                <w:color w:val="993300"/>
              </w:rPr>
            </w:pPr>
            <w:r>
              <w:rPr>
                <w:color w:val="993300"/>
              </w:rPr>
              <w:t>Does the statue eliminate the utility’s obligation to serve?</w:t>
            </w:r>
          </w:p>
          <w:p>
            <w:pPr>
              <w:pStyle w:val="Normal"/>
              <w:numPr>
                <w:ilvl w:val="0"/>
                <w:numId w:val="6"/>
              </w:numPr>
              <w:rPr>
                <w:color w:val="993300"/>
              </w:rPr>
            </w:pPr>
            <w:r>
              <w:rPr>
                <w:color w:val="993300"/>
              </w:rPr>
              <w:t>How will QF power be allocated among or between customers?</w:t>
            </w:r>
          </w:p>
          <w:p>
            <w:pPr>
              <w:pStyle w:val="Normal"/>
              <w:numPr>
                <w:ilvl w:val="0"/>
                <w:numId w:val="6"/>
              </w:numPr>
              <w:rPr>
                <w:color w:val="993300"/>
              </w:rPr>
            </w:pPr>
            <w:r>
              <w:rPr>
                <w:color w:val="993300"/>
              </w:rPr>
              <w:t>Will the utility have a “regulatory out” under the contract?</w:t>
            </w:r>
          </w:p>
          <w:p>
            <w:pPr>
              <w:pStyle w:val="Normal"/>
              <w:rPr>
                <w:color w:val="993300"/>
              </w:rPr>
            </w:pPr>
            <w:r>
              <w:rPr>
                <w:color w:val="993300"/>
              </w:rPr>
            </w:r>
          </w:p>
          <w:p>
            <w:pPr>
              <w:pStyle w:val="Heading3"/>
              <w:ind w:hanging="0" w:start="0"/>
              <w:rPr>
                <w:color w:val="993300"/>
              </w:rPr>
            </w:pPr>
            <w:r>
              <w:rPr>
                <w:color w:val="993300"/>
              </w:rPr>
              <w:t>Economic Issues</w:t>
            </w:r>
          </w:p>
          <w:p>
            <w:pPr>
              <w:pStyle w:val="Normal"/>
              <w:numPr>
                <w:ilvl w:val="0"/>
                <w:numId w:val="10"/>
              </w:numPr>
              <w:rPr>
                <w:color w:val="993300"/>
              </w:rPr>
            </w:pPr>
            <w:r>
              <w:rPr>
                <w:color w:val="993300"/>
              </w:rPr>
              <w:t>What is the long-term prognosis for the contract?</w:t>
            </w:r>
          </w:p>
          <w:p>
            <w:pPr>
              <w:pStyle w:val="Normal"/>
              <w:numPr>
                <w:ilvl w:val="0"/>
                <w:numId w:val="10"/>
              </w:numPr>
              <w:rPr>
                <w:color w:val="993300"/>
              </w:rPr>
            </w:pPr>
            <w:r>
              <w:rPr>
                <w:color w:val="993300"/>
              </w:rPr>
              <w:t xml:space="preserve">Where does the contract fit in terms of total cost among the utility’s stranded costs?  Among the utility’s QF contracts?  </w:t>
            </w:r>
          </w:p>
          <w:p>
            <w:pPr>
              <w:pStyle w:val="Normal"/>
              <w:numPr>
                <w:ilvl w:val="0"/>
                <w:numId w:val="10"/>
              </w:numPr>
              <w:rPr>
                <w:color w:val="993300"/>
              </w:rPr>
            </w:pPr>
            <w:r>
              <w:rPr>
                <w:color w:val="993300"/>
              </w:rPr>
              <w:t xml:space="preserve">Does the stranded cost treatment provided for QF contracts create an incentive to reform the contract?  </w:t>
            </w:r>
          </w:p>
          <w:p>
            <w:pPr>
              <w:pStyle w:val="Normal"/>
              <w:rPr>
                <w:color w:val="993300"/>
              </w:rPr>
            </w:pPr>
            <w:r>
              <w:rPr>
                <w:color w:val="993300"/>
              </w:rPr>
            </w:r>
          </w:p>
          <w:p>
            <w:pPr>
              <w:pStyle w:val="Normal"/>
              <w:rPr>
                <w:color w:val="993300"/>
              </w:rPr>
            </w:pPr>
            <w:r>
              <w:rPr>
                <w:color w:val="993300"/>
              </w:rPr>
              <w:t>Other Regulatory Issues.</w:t>
            </w:r>
          </w:p>
          <w:p>
            <w:pPr>
              <w:pStyle w:val="Normal"/>
              <w:numPr>
                <w:ilvl w:val="0"/>
                <w:numId w:val="10"/>
              </w:numPr>
              <w:rPr>
                <w:color w:val="993300"/>
              </w:rPr>
            </w:pPr>
            <w:r>
              <w:rPr>
                <w:color w:val="993300"/>
              </w:rPr>
              <w:t>What regulations will apply to the resource created by a buy out or reformation of the contract?</w:t>
            </w:r>
          </w:p>
          <w:p>
            <w:pPr>
              <w:pStyle w:val="Normal"/>
              <w:numPr>
                <w:ilvl w:val="0"/>
                <w:numId w:val="10"/>
              </w:numPr>
              <w:rPr>
                <w:color w:val="993300"/>
              </w:rPr>
            </w:pPr>
            <w:r>
              <w:rPr>
                <w:color w:val="993300"/>
              </w:rPr>
              <w:t>Does the entity lose any key regulatory protections it if loses QF status?</w:t>
            </w:r>
          </w:p>
          <w:p>
            <w:pPr>
              <w:pStyle w:val="Normal"/>
              <w:numPr>
                <w:ilvl w:val="0"/>
                <w:numId w:val="10"/>
              </w:numPr>
              <w:rPr>
                <w:color w:val="993300"/>
                <w:sz w:val="22"/>
              </w:rPr>
            </w:pPr>
            <w:r>
              <w:rPr>
                <w:color w:val="993300"/>
              </w:rPr>
              <w:t>Will it become a retail provider regulated under a retail-restructuring scheme?</w:t>
            </w:r>
          </w:p>
        </w:tc>
        <w:tc>
          <w:tcPr>
            <w:tcW w:w="3499" w:type="dxa"/>
            <w:tcBorders>
              <w:top w:val="single" w:sz="4" w:space="0" w:color="000000"/>
              <w:start w:val="single" w:sz="4" w:space="0" w:color="000000"/>
              <w:bottom w:val="single" w:sz="4" w:space="0" w:color="000000"/>
              <w:end w:val="single" w:sz="4" w:space="0" w:color="000000"/>
            </w:tcBorders>
          </w:tcPr>
          <w:p>
            <w:pPr>
              <w:pStyle w:val="Normal"/>
              <w:jc w:val="center"/>
              <w:rPr>
                <w:color w:val="993300"/>
                <w:sz w:val="22"/>
              </w:rPr>
            </w:pPr>
            <w:r>
              <w:rPr>
                <w:color w:val="993300"/>
                <w:sz w:val="22"/>
              </w:rPr>
              <w:t xml:space="preserve">Pending  </w:t>
            </w:r>
          </w:p>
        </w:tc>
        <w:tc>
          <w:tcPr>
            <w:tcW w:w="3499" w:type="dxa"/>
            <w:tcBorders>
              <w:top w:val="single" w:sz="4" w:space="0" w:color="000000"/>
              <w:start w:val="single" w:sz="4" w:space="0" w:color="000000"/>
              <w:bottom w:val="single" w:sz="4" w:space="0" w:color="000000"/>
              <w:end w:val="single" w:sz="4" w:space="0" w:color="000000"/>
            </w:tcBorders>
          </w:tcPr>
          <w:p>
            <w:pPr>
              <w:pStyle w:val="BodyText"/>
              <w:rPr>
                <w:color w:val="993300"/>
                <w:sz w:val="22"/>
              </w:rPr>
            </w:pPr>
            <w:r>
              <w:rPr>
                <w:color w:val="993300"/>
                <w:sz w:val="22"/>
              </w:rPr>
              <w:t xml:space="preserve">This is a three part module that aim at providing due diligence for transmission and ISO functions as well as for the distribution network in case Enron’s customer is served on a lower voltage level. </w:t>
            </w:r>
          </w:p>
          <w:p>
            <w:pPr>
              <w:pStyle w:val="BodyText"/>
              <w:rPr>
                <w:color w:val="993300"/>
                <w:sz w:val="22"/>
              </w:rPr>
            </w:pPr>
            <w:r>
              <w:rPr>
                <w:color w:val="993300"/>
                <w:sz w:val="22"/>
              </w:rPr>
            </w:r>
          </w:p>
          <w:p>
            <w:pPr>
              <w:pStyle w:val="BodyText"/>
              <w:rPr>
                <w:b/>
                <w:bCs/>
                <w:color w:val="993300"/>
                <w:sz w:val="22"/>
                <w:u w:val="single"/>
              </w:rPr>
            </w:pPr>
            <w:r>
              <w:rPr>
                <w:b/>
                <w:bCs/>
                <w:color w:val="993300"/>
                <w:sz w:val="22"/>
                <w:u w:val="single"/>
              </w:rPr>
              <w:t>Transmission Service</w:t>
            </w:r>
          </w:p>
          <w:p>
            <w:pPr>
              <w:pStyle w:val="BodyText"/>
              <w:numPr>
                <w:ilvl w:val="0"/>
                <w:numId w:val="4"/>
              </w:numPr>
              <w:rPr>
                <w:color w:val="993300"/>
                <w:sz w:val="22"/>
              </w:rPr>
            </w:pPr>
            <w:r>
              <w:rPr>
                <w:color w:val="993300"/>
                <w:sz w:val="22"/>
              </w:rPr>
              <w:t>Tariff, Terms and Conditions</w:t>
            </w:r>
          </w:p>
          <w:p>
            <w:pPr>
              <w:pStyle w:val="BodyText"/>
              <w:numPr>
                <w:ilvl w:val="1"/>
                <w:numId w:val="6"/>
              </w:numPr>
              <w:rPr>
                <w:color w:val="993300"/>
                <w:sz w:val="22"/>
              </w:rPr>
            </w:pPr>
            <w:r>
              <w:rPr>
                <w:color w:val="993300"/>
                <w:sz w:val="22"/>
              </w:rPr>
              <w:t>Types of services offered</w:t>
            </w:r>
          </w:p>
          <w:p>
            <w:pPr>
              <w:pStyle w:val="BodyText"/>
              <w:numPr>
                <w:ilvl w:val="1"/>
                <w:numId w:val="6"/>
              </w:numPr>
              <w:rPr>
                <w:color w:val="993300"/>
                <w:sz w:val="22"/>
              </w:rPr>
            </w:pPr>
            <w:r>
              <w:rPr>
                <w:color w:val="993300"/>
                <w:sz w:val="22"/>
              </w:rPr>
              <w:t xml:space="preserve">Conversion of existing service to ISO/RTO Tariff </w:t>
            </w:r>
          </w:p>
          <w:p>
            <w:pPr>
              <w:pStyle w:val="BodyText"/>
              <w:numPr>
                <w:ilvl w:val="1"/>
                <w:numId w:val="6"/>
              </w:numPr>
              <w:rPr>
                <w:color w:val="993300"/>
                <w:sz w:val="22"/>
              </w:rPr>
            </w:pPr>
            <w:r>
              <w:rPr>
                <w:color w:val="993300"/>
                <w:sz w:val="22"/>
              </w:rPr>
              <w:t>Access Fees</w:t>
            </w:r>
          </w:p>
          <w:p>
            <w:pPr>
              <w:pStyle w:val="BodyText"/>
              <w:numPr>
                <w:ilvl w:val="1"/>
                <w:numId w:val="6"/>
              </w:numPr>
              <w:rPr>
                <w:color w:val="993300"/>
                <w:sz w:val="22"/>
              </w:rPr>
            </w:pPr>
            <w:r>
              <w:rPr>
                <w:color w:val="993300"/>
                <w:sz w:val="22"/>
              </w:rPr>
              <w:t>Definition of transmission rights</w:t>
            </w:r>
          </w:p>
          <w:p>
            <w:pPr>
              <w:pStyle w:val="Normal"/>
              <w:numPr>
                <w:ilvl w:val="0"/>
                <w:numId w:val="2"/>
              </w:numPr>
              <w:rPr>
                <w:color w:val="993300"/>
                <w:sz w:val="22"/>
              </w:rPr>
            </w:pPr>
            <w:r>
              <w:rPr>
                <w:color w:val="993300"/>
                <w:sz w:val="22"/>
              </w:rPr>
              <w:t xml:space="preserve">Rules of Capacity Allocation </w:t>
            </w:r>
          </w:p>
          <w:p>
            <w:pPr>
              <w:pStyle w:val="Normal"/>
              <w:numPr>
                <w:ilvl w:val="0"/>
                <w:numId w:val="2"/>
              </w:numPr>
              <w:rPr>
                <w:color w:val="993300"/>
                <w:sz w:val="22"/>
              </w:rPr>
            </w:pPr>
            <w:r>
              <w:rPr>
                <w:color w:val="993300"/>
                <w:sz w:val="22"/>
              </w:rPr>
              <w:t xml:space="preserve">Congestion management. </w:t>
            </w:r>
          </w:p>
          <w:p>
            <w:pPr>
              <w:pStyle w:val="Normal"/>
              <w:numPr>
                <w:ilvl w:val="0"/>
                <w:numId w:val="2"/>
              </w:numPr>
              <w:rPr>
                <w:color w:val="993300"/>
                <w:sz w:val="22"/>
              </w:rPr>
            </w:pPr>
            <w:r>
              <w:rPr>
                <w:color w:val="993300"/>
                <w:sz w:val="22"/>
              </w:rPr>
              <w:t>OASIS, TTC/ATC:</w:t>
            </w:r>
          </w:p>
          <w:p>
            <w:pPr>
              <w:pStyle w:val="Normal"/>
              <w:numPr>
                <w:ilvl w:val="0"/>
                <w:numId w:val="2"/>
              </w:numPr>
              <w:rPr>
                <w:color w:val="993300"/>
                <w:sz w:val="22"/>
              </w:rPr>
            </w:pPr>
            <w:r>
              <w:rPr>
                <w:color w:val="993300"/>
                <w:sz w:val="22"/>
              </w:rPr>
              <w:t>What are the rules of system expansion and reinforcement?</w:t>
            </w:r>
          </w:p>
          <w:p>
            <w:pPr>
              <w:pStyle w:val="Normal"/>
              <w:rPr>
                <w:color w:val="993300"/>
                <w:sz w:val="22"/>
              </w:rPr>
            </w:pPr>
            <w:r>
              <w:rPr>
                <w:color w:val="993300"/>
                <w:sz w:val="22"/>
              </w:rPr>
            </w:r>
          </w:p>
          <w:p>
            <w:pPr>
              <w:pStyle w:val="Heading1"/>
              <w:ind w:hanging="0" w:start="0"/>
              <w:rPr>
                <w:sz w:val="22"/>
                <w:u w:val="single"/>
              </w:rPr>
            </w:pPr>
            <w:bookmarkStart w:id="0" w:name="_Ref480190705"/>
            <w:r>
              <w:rPr>
                <w:sz w:val="22"/>
                <w:u w:val="single"/>
              </w:rPr>
              <w:t>The ISO/RTO</w:t>
            </w:r>
            <w:bookmarkEnd w:id="0"/>
          </w:p>
          <w:p>
            <w:pPr>
              <w:pStyle w:val="Normal"/>
              <w:numPr>
                <w:ilvl w:val="0"/>
                <w:numId w:val="9"/>
              </w:numPr>
              <w:rPr>
                <w:color w:val="993300"/>
                <w:sz w:val="22"/>
              </w:rPr>
            </w:pPr>
            <w:r>
              <w:rPr>
                <w:color w:val="993300"/>
                <w:sz w:val="22"/>
              </w:rPr>
              <w:t xml:space="preserve">The Role of the ISO/RTO. </w:t>
            </w:r>
          </w:p>
          <w:p>
            <w:pPr>
              <w:pStyle w:val="Normal"/>
              <w:numPr>
                <w:ilvl w:val="0"/>
                <w:numId w:val="9"/>
              </w:numPr>
              <w:rPr>
                <w:color w:val="993300"/>
                <w:sz w:val="22"/>
              </w:rPr>
            </w:pPr>
            <w:r>
              <w:rPr>
                <w:color w:val="993300"/>
                <w:sz w:val="22"/>
              </w:rPr>
              <w:t xml:space="preserve">Corporate Structure of the ISO/RTO.  </w:t>
            </w:r>
          </w:p>
          <w:p>
            <w:pPr>
              <w:pStyle w:val="Normal"/>
              <w:numPr>
                <w:ilvl w:val="0"/>
                <w:numId w:val="9"/>
              </w:numPr>
              <w:rPr>
                <w:color w:val="993300"/>
                <w:sz w:val="22"/>
              </w:rPr>
            </w:pPr>
            <w:r>
              <w:rPr>
                <w:color w:val="993300"/>
                <w:sz w:val="22"/>
              </w:rPr>
              <w:t xml:space="preserve">Definitions of the Market participants: </w:t>
            </w:r>
          </w:p>
          <w:p>
            <w:pPr>
              <w:pStyle w:val="Normal"/>
              <w:numPr>
                <w:ilvl w:val="0"/>
                <w:numId w:val="9"/>
              </w:numPr>
              <w:rPr>
                <w:color w:val="993300"/>
                <w:sz w:val="22"/>
              </w:rPr>
            </w:pPr>
            <w:bookmarkStart w:id="1" w:name="_Ref445455244"/>
            <w:r>
              <w:rPr>
                <w:color w:val="993300"/>
                <w:sz w:val="22"/>
              </w:rPr>
              <w:t>Guarantees of Participation.</w:t>
            </w:r>
          </w:p>
          <w:p>
            <w:pPr>
              <w:pStyle w:val="Normal"/>
              <w:numPr>
                <w:ilvl w:val="0"/>
                <w:numId w:val="9"/>
              </w:numPr>
              <w:rPr>
                <w:color w:val="993300"/>
                <w:sz w:val="22"/>
              </w:rPr>
            </w:pPr>
            <w:bookmarkStart w:id="2" w:name="_Ref445455244"/>
            <w:r>
              <w:rPr>
                <w:color w:val="993300"/>
                <w:sz w:val="22"/>
              </w:rPr>
              <w:t xml:space="preserve">Rights and Obligations of the </w:t>
            </w:r>
            <w:bookmarkEnd w:id="2"/>
            <w:r>
              <w:rPr>
                <w:color w:val="993300"/>
                <w:sz w:val="22"/>
              </w:rPr>
              <w:t xml:space="preserve">Market Participants. </w:t>
            </w:r>
          </w:p>
          <w:p>
            <w:pPr>
              <w:pStyle w:val="Normal"/>
              <w:numPr>
                <w:ilvl w:val="0"/>
                <w:numId w:val="9"/>
              </w:numPr>
              <w:rPr>
                <w:color w:val="993300"/>
                <w:sz w:val="22"/>
              </w:rPr>
            </w:pPr>
            <w:r>
              <w:rPr>
                <w:color w:val="993300"/>
                <w:sz w:val="22"/>
              </w:rPr>
              <w:t xml:space="preserve">Products of the ISO/RTO: </w:t>
            </w:r>
          </w:p>
          <w:p>
            <w:pPr>
              <w:pStyle w:val="Normal"/>
              <w:numPr>
                <w:ilvl w:val="0"/>
                <w:numId w:val="9"/>
              </w:numPr>
              <w:rPr>
                <w:color w:val="993300"/>
                <w:sz w:val="22"/>
              </w:rPr>
            </w:pPr>
            <w:r>
              <w:rPr>
                <w:color w:val="993300"/>
                <w:sz w:val="22"/>
              </w:rPr>
              <w:t>Rules of Dispatch and Operation Coordination</w:t>
            </w:r>
            <w:bookmarkStart w:id="3" w:name="_Ref445784771"/>
          </w:p>
          <w:p>
            <w:pPr>
              <w:pStyle w:val="Normal"/>
              <w:numPr>
                <w:ilvl w:val="0"/>
                <w:numId w:val="9"/>
              </w:numPr>
              <w:rPr>
                <w:color w:val="993300"/>
                <w:sz w:val="22"/>
              </w:rPr>
            </w:pPr>
            <w:bookmarkStart w:id="4" w:name="_Ref523216097"/>
            <w:bookmarkEnd w:id="3"/>
            <w:r>
              <w:rPr>
                <w:color w:val="993300"/>
                <w:sz w:val="22"/>
              </w:rPr>
              <w:t>Ancillary Services</w:t>
            </w:r>
            <w:bookmarkEnd w:id="4"/>
          </w:p>
          <w:p>
            <w:pPr>
              <w:pStyle w:val="Normal"/>
              <w:numPr>
                <w:ilvl w:val="1"/>
                <w:numId w:val="9"/>
              </w:numPr>
              <w:jc w:val="both"/>
              <w:rPr>
                <w:color w:val="993300"/>
                <w:sz w:val="22"/>
              </w:rPr>
            </w:pPr>
            <w:r>
              <w:rPr>
                <w:color w:val="993300"/>
                <w:sz w:val="22"/>
              </w:rPr>
              <w:t>Definition</w:t>
            </w:r>
          </w:p>
          <w:p>
            <w:pPr>
              <w:pStyle w:val="Normal"/>
              <w:numPr>
                <w:ilvl w:val="1"/>
                <w:numId w:val="9"/>
              </w:numPr>
              <w:jc w:val="both"/>
              <w:rPr>
                <w:color w:val="993300"/>
                <w:sz w:val="22"/>
              </w:rPr>
            </w:pPr>
            <w:r>
              <w:rPr>
                <w:color w:val="993300"/>
                <w:sz w:val="22"/>
              </w:rPr>
              <w:t xml:space="preserve">Nomination </w:t>
            </w:r>
          </w:p>
          <w:p>
            <w:pPr>
              <w:pStyle w:val="Normal"/>
              <w:numPr>
                <w:ilvl w:val="0"/>
                <w:numId w:val="9"/>
              </w:numPr>
              <w:jc w:val="both"/>
              <w:rPr>
                <w:color w:val="993300"/>
                <w:sz w:val="22"/>
              </w:rPr>
            </w:pPr>
            <w:r>
              <w:rPr>
                <w:color w:val="993300"/>
                <w:sz w:val="22"/>
              </w:rPr>
              <w:t>Treatment of Bilateral Transactions.</w:t>
            </w:r>
          </w:p>
          <w:p>
            <w:pPr>
              <w:pStyle w:val="Normal"/>
              <w:numPr>
                <w:ilvl w:val="0"/>
                <w:numId w:val="9"/>
              </w:numPr>
              <w:rPr>
                <w:color w:val="993300"/>
                <w:sz w:val="22"/>
              </w:rPr>
            </w:pPr>
            <w:r>
              <w:rPr>
                <w:color w:val="993300"/>
                <w:sz w:val="22"/>
              </w:rPr>
              <w:t>Order of Curtailment and Emergency Procedures.</w:t>
            </w:r>
          </w:p>
          <w:p>
            <w:pPr>
              <w:pStyle w:val="Normal"/>
              <w:numPr>
                <w:ilvl w:val="0"/>
                <w:numId w:val="9"/>
              </w:numPr>
              <w:jc w:val="both"/>
              <w:rPr>
                <w:color w:val="993300"/>
                <w:sz w:val="22"/>
              </w:rPr>
            </w:pPr>
            <w:r>
              <w:rPr>
                <w:color w:val="993300"/>
                <w:sz w:val="22"/>
              </w:rPr>
              <w:t xml:space="preserve">Cost of Rationing. </w:t>
            </w:r>
          </w:p>
          <w:p>
            <w:pPr>
              <w:pStyle w:val="Normal"/>
              <w:numPr>
                <w:ilvl w:val="0"/>
                <w:numId w:val="9"/>
              </w:numPr>
              <w:jc w:val="both"/>
              <w:rPr>
                <w:color w:val="993300"/>
                <w:sz w:val="22"/>
              </w:rPr>
            </w:pPr>
            <w:r>
              <w:rPr>
                <w:color w:val="993300"/>
                <w:sz w:val="22"/>
              </w:rPr>
              <w:t>Account Settlement</w:t>
            </w:r>
          </w:p>
          <w:p>
            <w:pPr>
              <w:pStyle w:val="Normal"/>
              <w:numPr>
                <w:ilvl w:val="0"/>
                <w:numId w:val="9"/>
              </w:numPr>
              <w:jc w:val="both"/>
              <w:rPr>
                <w:color w:val="993300"/>
                <w:sz w:val="22"/>
              </w:rPr>
            </w:pPr>
            <w:r>
              <w:rPr>
                <w:color w:val="993300"/>
                <w:sz w:val="22"/>
              </w:rPr>
              <w:t xml:space="preserve">Conflict Resolution </w:t>
            </w:r>
          </w:p>
          <w:p>
            <w:pPr>
              <w:pStyle w:val="Normal"/>
              <w:numPr>
                <w:ilvl w:val="0"/>
                <w:numId w:val="9"/>
              </w:numPr>
              <w:rPr>
                <w:color w:val="993300"/>
                <w:sz w:val="22"/>
              </w:rPr>
            </w:pPr>
            <w:r>
              <w:rPr>
                <w:color w:val="993300"/>
                <w:sz w:val="22"/>
              </w:rPr>
              <w:t>Course of Appeal</w:t>
            </w:r>
          </w:p>
          <w:p>
            <w:pPr>
              <w:pStyle w:val="Normal"/>
              <w:numPr>
                <w:ilvl w:val="0"/>
                <w:numId w:val="9"/>
              </w:numPr>
              <w:rPr>
                <w:color w:val="993300"/>
                <w:sz w:val="22"/>
              </w:rPr>
            </w:pPr>
            <w:r>
              <w:rPr>
                <w:color w:val="993300"/>
                <w:sz w:val="22"/>
              </w:rPr>
              <w:t>Cost of the Administrator.</w:t>
            </w:r>
          </w:p>
          <w:p>
            <w:pPr>
              <w:pStyle w:val="Normal"/>
              <w:rPr>
                <w:color w:val="993300"/>
                <w:sz w:val="22"/>
              </w:rPr>
            </w:pPr>
            <w:r>
              <w:rPr>
                <w:color w:val="993300"/>
                <w:sz w:val="22"/>
              </w:rPr>
            </w:r>
          </w:p>
          <w:p>
            <w:pPr>
              <w:pStyle w:val="Normal"/>
              <w:ind w:start="-57" w:end="0"/>
              <w:rPr/>
            </w:pPr>
            <w:r>
              <w:rPr>
                <w:b/>
                <w:bCs/>
                <w:color w:val="993300"/>
                <w:sz w:val="22"/>
              </w:rPr>
              <w:t>Distribution Voltage Section</w:t>
            </w:r>
            <w:r>
              <w:rPr>
                <w:color w:val="993300"/>
                <w:sz w:val="22"/>
              </w:rPr>
              <w:t>:</w:t>
            </w:r>
          </w:p>
          <w:p>
            <w:pPr>
              <w:pStyle w:val="BodyText"/>
              <w:numPr>
                <w:ilvl w:val="0"/>
                <w:numId w:val="7"/>
              </w:numPr>
              <w:rPr>
                <w:color w:val="993300"/>
                <w:sz w:val="22"/>
              </w:rPr>
            </w:pPr>
            <w:r>
              <w:rPr>
                <w:color w:val="993300"/>
                <w:sz w:val="22"/>
              </w:rPr>
              <w:t>Tariff, Terms and Conditions</w:t>
            </w:r>
          </w:p>
          <w:p>
            <w:pPr>
              <w:pStyle w:val="BodyText"/>
              <w:numPr>
                <w:ilvl w:val="0"/>
                <w:numId w:val="7"/>
              </w:numPr>
              <w:rPr>
                <w:color w:val="993300"/>
                <w:sz w:val="22"/>
              </w:rPr>
            </w:pPr>
            <w:r>
              <w:rPr>
                <w:color w:val="993300"/>
                <w:sz w:val="22"/>
              </w:rPr>
              <w:t>Rate Structure</w:t>
            </w:r>
          </w:p>
          <w:p>
            <w:pPr>
              <w:pStyle w:val="BodyText"/>
              <w:numPr>
                <w:ilvl w:val="0"/>
                <w:numId w:val="7"/>
              </w:numPr>
              <w:rPr>
                <w:color w:val="993300"/>
                <w:sz w:val="22"/>
              </w:rPr>
            </w:pPr>
            <w:r>
              <w:rPr>
                <w:color w:val="993300"/>
                <w:sz w:val="22"/>
              </w:rPr>
              <w:t>Distribution Rate Review mechanism.</w:t>
            </w:r>
          </w:p>
          <w:p>
            <w:pPr>
              <w:pStyle w:val="BodyText"/>
              <w:numPr>
                <w:ilvl w:val="0"/>
                <w:numId w:val="7"/>
              </w:numPr>
              <w:rPr>
                <w:color w:val="993300"/>
                <w:sz w:val="22"/>
              </w:rPr>
            </w:pPr>
            <w:r>
              <w:rPr>
                <w:color w:val="993300"/>
                <w:sz w:val="22"/>
              </w:rPr>
              <w:t>Order of Curtailment</w:t>
            </w:r>
          </w:p>
          <w:p>
            <w:pPr>
              <w:pStyle w:val="Normal"/>
              <w:ind w:start="-57" w:end="0"/>
              <w:rPr>
                <w:color w:val="993300"/>
                <w:sz w:val="22"/>
              </w:rPr>
            </w:pPr>
            <w:r>
              <w:rPr>
                <w:color w:val="993300"/>
                <w:sz w:val="22"/>
              </w:rPr>
            </w:r>
          </w:p>
        </w:tc>
        <w:tc>
          <w:tcPr>
            <w:tcW w:w="3500" w:type="dxa"/>
            <w:tcBorders>
              <w:top w:val="single" w:sz="4" w:space="0" w:color="000000"/>
              <w:start w:val="single" w:sz="4" w:space="0" w:color="000000"/>
              <w:bottom w:val="single" w:sz="4" w:space="0" w:color="000000"/>
              <w:end w:val="single" w:sz="4" w:space="0" w:color="000000"/>
            </w:tcBorders>
          </w:tcPr>
          <w:p>
            <w:pPr>
              <w:pStyle w:val="Normal"/>
              <w:rPr/>
            </w:pPr>
            <w:r>
              <w:rPr>
                <w:color w:val="993300"/>
                <w:sz w:val="22"/>
              </w:rPr>
              <w:t xml:space="preserve">This section lists in details the licensing procedures outlines in the </w:t>
            </w:r>
            <w:r>
              <w:rPr>
                <w:color w:val="993300"/>
                <w:sz w:val="22"/>
                <w:u w:val="single"/>
              </w:rPr>
              <w:t>regulatory regiment</w:t>
            </w:r>
            <w:r>
              <w:rPr>
                <w:color w:val="993300"/>
                <w:sz w:val="22"/>
              </w:rPr>
              <w:t xml:space="preserve"> under which the asset is being constructed. </w:t>
            </w:r>
          </w:p>
          <w:p>
            <w:pPr>
              <w:pStyle w:val="Normal"/>
              <w:rPr>
                <w:color w:val="993300"/>
                <w:sz w:val="22"/>
              </w:rPr>
            </w:pPr>
            <w:r>
              <w:rPr>
                <w:color w:val="993300"/>
                <w:sz w:val="22"/>
              </w:rPr>
            </w:r>
          </w:p>
          <w:p>
            <w:pPr>
              <w:pStyle w:val="Normal"/>
              <w:rPr>
                <w:color w:val="993300"/>
                <w:sz w:val="22"/>
              </w:rPr>
            </w:pPr>
            <w:r>
              <w:rPr>
                <w:color w:val="993300"/>
                <w:sz w:val="22"/>
              </w:rPr>
            </w:r>
          </w:p>
          <w:p>
            <w:pPr>
              <w:pStyle w:val="Normal"/>
              <w:rPr>
                <w:color w:val="993300"/>
                <w:sz w:val="22"/>
              </w:rPr>
            </w:pPr>
            <w:r>
              <w:rPr>
                <w:color w:val="993300"/>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r>
    </w:tbl>
    <w:p>
      <w:pPr>
        <w:pStyle w:val="Normal"/>
        <w:rPr/>
      </w:pPr>
      <w:r>
        <w:rPr/>
      </w:r>
    </w:p>
    <w:sectPr>
      <w:type w:val="nextPage"/>
      <w:pgSz w:orient="landscape" w:w="20160" w:h="12240"/>
      <w:pgMar w:left="1440" w:right="1440" w:gutter="0" w:header="0" w:top="1800" w:footer="0" w:bottom="180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ibrahi" w:date="0-00-00T00:00:00Z" w:initials="a">
    <w:p>
      <w:pPr>
        <w:overflowPunct w:val="false"/>
        <w:bidi w:val="0"/>
        <w:rPr/>
      </w:pPr>
      <w:r>
        <w:annotationRef/>
      </w:r>
      <w:r>
        <w:rPr>
          <w:rFonts w:ascii="Times New Roman" w:hAnsi="Times New Roman" w:eastAsia="Times New Roman" w:cs="Times New Roman"/>
          <w:color w:val="auto"/>
          <w:sz w:val="20"/>
          <w:szCs w:val="20"/>
          <w:lang w:eastAsia="en-US" w:val="en-US" w:bidi="ar-SA"/>
        </w:rPr>
        <w:t>Is there a need to look into the fuel contract?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1080"/>
        </w:tabs>
        <w:ind w:start="108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8">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0">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993300"/>
    </w:rPr>
  </w:style>
  <w:style w:type="paragraph" w:styleId="Heading2">
    <w:name w:val="heading 2"/>
    <w:basedOn w:val="Normal"/>
    <w:next w:val="Normal"/>
    <w:qFormat/>
    <w:pPr>
      <w:keepNext w:val="true"/>
      <w:numPr>
        <w:ilvl w:val="1"/>
        <w:numId w:val="1"/>
      </w:numPr>
      <w:jc w:val="center"/>
      <w:outlineLvl w:val="1"/>
    </w:pPr>
    <w:rPr>
      <w:b/>
      <w:bCs/>
      <w:color w:val="993300"/>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jc w:val="center"/>
      <w:outlineLvl w:val="3"/>
    </w:pPr>
    <w:rPr>
      <w:b/>
      <w:bCs/>
      <w:color w:val="800000"/>
    </w:rPr>
  </w:style>
  <w:style w:type="character" w:styleId="WW8Num1z0">
    <w:name w:val="WW8Num1z0"/>
    <w:qFormat/>
    <w:rPr>
      <w:rFonts w:ascii="Wingdings" w:hAnsi="Wingdings" w:cs="Wingdings"/>
    </w:rPr>
  </w:style>
  <w:style w:type="character" w:styleId="WW8Num1z1">
    <w:name w:val="WW8Num1z1"/>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7z0">
    <w:name w:val="WW8Num7z0"/>
    <w:qFormat/>
    <w:rPr>
      <w:rFonts w:ascii="Wingdings" w:hAnsi="Wingdings" w:cs="Wingdings"/>
    </w:rPr>
  </w:style>
  <w:style w:type="character" w:styleId="WW8Num7z1">
    <w:name w:val="WW8Num7z1"/>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jc w:val="center"/>
    </w:pPr>
    <w:rPr>
      <w:b/>
      <w:bCs/>
      <w:color w:val="000080"/>
      <w:sz w:val="32"/>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rPr>
  </w:style>
  <w:style w:type="paragraph" w:styleId="BodyTextIndent">
    <w:name w:val="Body Text Indent"/>
    <w:basedOn w:val="Normal"/>
    <w:pPr>
      <w:ind w:hanging="0" w:start="720" w:end="0"/>
    </w:pPr>
    <w:rPr/>
  </w:style>
  <w:style w:type="paragraph" w:styleId="BodyText3">
    <w:name w:val="Body Text 3"/>
    <w:basedOn w:val="Normal"/>
    <w:qFormat/>
    <w:pPr/>
    <w:rPr>
      <w:color w:val="800000"/>
      <w:u w:val="single"/>
    </w:rPr>
  </w:style>
  <w:style w:type="paragraph" w:styleId="FootnoteText">
    <w:name w:val="footnote text"/>
    <w:basedOn w:val="Normal"/>
    <w:pPr>
      <w:spacing w:before="60" w:after="60"/>
      <w:ind w:hanging="360" w:start="360" w:end="0"/>
    </w:pPr>
    <w:rPr>
      <w:sz w:val="20"/>
      <w:szCs w:val="20"/>
    </w:rPr>
  </w:style>
  <w:style w:type="paragraph" w:styleId="Subtitle">
    <w:name w:val="Subtitle"/>
    <w:basedOn w:val="Normal"/>
    <w:next w:val="BodyText"/>
    <w:qFormat/>
    <w:pPr/>
    <w:rPr>
      <w:b/>
      <w:bCs/>
      <w:color w:val="000080"/>
      <w:u w:val="single"/>
    </w:rPr>
  </w:style>
  <w:style w:type="paragraph" w:styleId="CommentText">
    <w:name w:val="Comment Text"/>
    <w:basedOn w:val="Normal"/>
    <w:qForma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2001-10-04T16:07:00Z</dcterms:created>
  <dc:creator>aibrahi</dc:creator>
  <dc:description/>
  <dc:language>en-CA</dc:language>
  <cp:lastModifiedBy>aibrahi</cp:lastModifiedBy>
  <cp:lastPrinted>2001-10-09T09:19:00Z</cp:lastPrinted>
  <dcterms:modified xsi:type="dcterms:W3CDTF">2001-10-09T14:19:00Z</dcterms:modified>
  <cp:revision>10</cp:revision>
  <dc:subject/>
  <dc:title>The Transmission/ISO Module</dc:title>
</cp:coreProperties>
</file>