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jc w:val="end"/>
        <w:rPr>
          <w:rFonts w:ascii="Times New Roman" w:hAnsi="Times New Roman" w:cs="Times New Roman"/>
        </w:rPr>
      </w:pPr>
      <w:r>
        <w:rPr>
          <w:rFonts w:cs="Times New Roman" w:ascii="Times New Roman" w:hAnsi="Times New Roman"/>
        </w:rPr>
        <w:t>DRAFT FOR REVIEW AND DISCUSSION PURPOSES ONLY</w:t>
      </w:r>
    </w:p>
    <w:p>
      <w:pPr>
        <w:pStyle w:val="Heading"/>
        <w:rPr>
          <w:rFonts w:ascii="Times New Roman" w:hAnsi="Times New Roman" w:cs="Times New Roman"/>
        </w:rPr>
      </w:pPr>
      <w:r>
        <w:rPr>
          <w:rFonts w:cs="Times New Roman" w:ascii="Times New Roman" w:hAnsi="Times New Roman"/>
        </w:rPr>
      </w:r>
    </w:p>
    <w:p>
      <w:pPr>
        <w:pStyle w:val="Heading"/>
        <w:rPr>
          <w:rFonts w:ascii="Times New Roman" w:hAnsi="Times New Roman" w:cs="Times New Roman"/>
        </w:rPr>
      </w:pPr>
      <w:r>
        <w:rPr>
          <w:rFonts w:cs="Times New Roman" w:ascii="Times New Roman" w:hAnsi="Times New Roman"/>
        </w:rPr>
        <w:t>GENERAL TERMS</w:t>
        <w:br/>
      </w:r>
    </w:p>
    <w:p>
      <w:pPr>
        <w:pStyle w:val="Normal"/>
        <w:numPr>
          <w:ilvl w:val="0"/>
          <w:numId w:val="4"/>
        </w:numPr>
        <w:rPr>
          <w:b/>
          <w:sz w:val="22"/>
          <w:u w:val="single"/>
        </w:rPr>
      </w:pPr>
      <w:r>
        <w:rPr>
          <w:b/>
          <w:sz w:val="22"/>
          <w:u w:val="single"/>
        </w:rPr>
        <w:t>NewCo:</w:t>
      </w:r>
    </w:p>
    <w:p>
      <w:pPr>
        <w:pStyle w:val="Normal"/>
        <w:rPr>
          <w:b/>
          <w:sz w:val="22"/>
          <w:u w:val="single"/>
        </w:rPr>
      </w:pPr>
      <w:r>
        <w:rPr>
          <w:b/>
          <w:sz w:val="22"/>
          <w:u w:val="single"/>
        </w:rPr>
      </w:r>
    </w:p>
    <w:p>
      <w:pPr>
        <w:pStyle w:val="Normal"/>
        <w:rPr>
          <w:sz w:val="22"/>
        </w:rPr>
      </w:pPr>
      <w:r>
        <w:rPr>
          <w:sz w:val="22"/>
        </w:rPr>
        <w:t>NewCo will be a newly created generation company. The owners of NewCo would be FPL Energy, L.L.C. (“FPL Energy”) and ENA, and other persons buying shares of NewCo in an IPO of NewCo.</w:t>
      </w:r>
    </w:p>
    <w:p>
      <w:pPr>
        <w:pStyle w:val="Normal"/>
        <w:rPr>
          <w:sz w:val="22"/>
        </w:rPr>
      </w:pPr>
      <w:r>
        <w:rPr>
          <w:sz w:val="22"/>
        </w:rPr>
      </w:r>
    </w:p>
    <w:p>
      <w:pPr>
        <w:pStyle w:val="Normal"/>
        <w:rPr>
          <w:sz w:val="22"/>
        </w:rPr>
      </w:pPr>
      <w:r>
        <w:rPr>
          <w:sz w:val="22"/>
        </w:rPr>
      </w:r>
    </w:p>
    <w:p>
      <w:pPr>
        <w:pStyle w:val="Normal"/>
        <w:numPr>
          <w:ilvl w:val="0"/>
          <w:numId w:val="4"/>
        </w:numPr>
        <w:rPr>
          <w:b/>
          <w:sz w:val="22"/>
          <w:u w:val="single"/>
        </w:rPr>
      </w:pPr>
      <w:r>
        <w:rPr>
          <w:b/>
          <w:sz w:val="22"/>
          <w:u w:val="single"/>
        </w:rPr>
        <w:t>Marketing and Risk Management:</w:t>
      </w:r>
    </w:p>
    <w:p>
      <w:pPr>
        <w:pStyle w:val="Normal"/>
        <w:rPr>
          <w:b/>
          <w:sz w:val="22"/>
          <w:u w:val="single"/>
        </w:rPr>
      </w:pPr>
      <w:r>
        <w:rPr>
          <w:b/>
          <w:sz w:val="22"/>
          <w:u w:val="single"/>
        </w:rPr>
      </w:r>
    </w:p>
    <w:p>
      <w:pPr>
        <w:pStyle w:val="Normal"/>
        <w:rPr>
          <w:sz w:val="22"/>
        </w:rPr>
      </w:pPr>
      <w:r>
        <w:rPr>
          <w:sz w:val="22"/>
        </w:rPr>
        <w:t>The marketing, operations, development and risk management capability for NewCo would be managed within the new entity subject to a risk management policy agreed to by ENA, FPL Energy and the newly formed board of directors.</w:t>
      </w:r>
    </w:p>
    <w:p>
      <w:pPr>
        <w:pStyle w:val="Normal"/>
        <w:rPr>
          <w:sz w:val="22"/>
        </w:rPr>
      </w:pPr>
      <w:r>
        <w:rPr>
          <w:sz w:val="22"/>
        </w:rPr>
      </w:r>
    </w:p>
    <w:p>
      <w:pPr>
        <w:pStyle w:val="Normal"/>
        <w:rPr>
          <w:sz w:val="22"/>
        </w:rPr>
      </w:pPr>
      <w:r>
        <w:rPr>
          <w:sz w:val="22"/>
        </w:rPr>
        <w:t>Our suggestion would be that employment candidates for key positions including risk management, trading, development and origination be submitted by both ENA and FPL Energy and that offers of employment be given only to those people who are successfully interviewed by both FPL Energy and ENA. Those candidates that are hired would become employees of the NewCo.</w:t>
      </w:r>
    </w:p>
    <w:p>
      <w:pPr>
        <w:pStyle w:val="Normal"/>
        <w:rPr>
          <w:sz w:val="22"/>
        </w:rPr>
      </w:pPr>
      <w:r>
        <w:rPr>
          <w:sz w:val="22"/>
        </w:rPr>
      </w:r>
    </w:p>
    <w:p>
      <w:pPr>
        <w:pStyle w:val="Normal"/>
        <w:rPr>
          <w:sz w:val="22"/>
        </w:rPr>
      </w:pPr>
      <w:r>
        <w:rPr>
          <w:sz w:val="22"/>
        </w:rPr>
        <w:t>There would be no exclusivity or non-compete clauses between NewCo and the parent companies.</w:t>
      </w:r>
    </w:p>
    <w:p>
      <w:pPr>
        <w:pStyle w:val="Normal"/>
        <w:rPr>
          <w:sz w:val="22"/>
        </w:rPr>
      </w:pPr>
      <w:r>
        <w:rPr>
          <w:sz w:val="22"/>
        </w:rPr>
      </w:r>
    </w:p>
    <w:p>
      <w:pPr>
        <w:pStyle w:val="Normal"/>
        <w:rPr>
          <w:sz w:val="22"/>
        </w:rPr>
      </w:pPr>
      <w:r>
        <w:rPr>
          <w:sz w:val="22"/>
        </w:rPr>
        <w:t xml:space="preserve">ENA and FPL Energy would each retain a right of first refusal on 50% in the aggregate of NewCo’s fuel and output volumes with a term greater than 3 months. </w:t>
      </w:r>
    </w:p>
    <w:p>
      <w:pPr>
        <w:pStyle w:val="Normal"/>
        <w:rPr>
          <w:sz w:val="22"/>
        </w:rPr>
      </w:pPr>
      <w:r>
        <w:rPr>
          <w:sz w:val="22"/>
        </w:rPr>
      </w:r>
    </w:p>
    <w:p>
      <w:pPr>
        <w:pStyle w:val="Normal"/>
        <w:rPr>
          <w:sz w:val="22"/>
        </w:rPr>
      </w:pPr>
      <w:r>
        <w:rPr>
          <w:sz w:val="22"/>
        </w:rPr>
      </w:r>
    </w:p>
    <w:p>
      <w:pPr>
        <w:pStyle w:val="Normal"/>
        <w:numPr>
          <w:ilvl w:val="0"/>
          <w:numId w:val="4"/>
        </w:numPr>
        <w:rPr>
          <w:b/>
          <w:sz w:val="22"/>
          <w:u w:val="single"/>
        </w:rPr>
      </w:pPr>
      <w:r>
        <w:rPr>
          <w:b/>
          <w:sz w:val="22"/>
          <w:u w:val="single"/>
        </w:rPr>
        <w:t>Risk Management Systems and Back Office Services (Administrative Services):</w:t>
      </w:r>
    </w:p>
    <w:p>
      <w:pPr>
        <w:pStyle w:val="Normal"/>
        <w:rPr>
          <w:b/>
          <w:sz w:val="22"/>
          <w:u w:val="single"/>
        </w:rPr>
      </w:pPr>
      <w:r>
        <w:rPr>
          <w:b/>
          <w:sz w:val="22"/>
          <w:u w:val="single"/>
        </w:rPr>
      </w:r>
    </w:p>
    <w:p>
      <w:pPr>
        <w:pStyle w:val="Normal"/>
        <w:rPr>
          <w:sz w:val="22"/>
        </w:rPr>
      </w:pPr>
      <w:r>
        <w:rPr>
          <w:sz w:val="22"/>
        </w:rPr>
        <w:t>ENA would provide NewCo, for a fee, risk management and back office services (“Administrative Services”) under a contractual arrangement for a term of five years from the closing of the IPO/merger.  If not terminated by either party with ninety days notice prior to the end of the initial term, it shall remain in effect for an additional twelve months on an evergreen basis.  Every year after the initial term, either party would have the right to cancel the agreement by providing written notice to the other party no less than 90 days prior to the end of that term.  ENA would provide all the services described herein with respect to all quantities of electric energy, electric capacity, ancillary services and fuel procurement generated, dispatched or scheduled for purchase and sale related to NewCo’s assets and any related contracts.  ENA will provide the necessary resources and systems to execute the following services:</w:t>
      </w:r>
    </w:p>
    <w:p>
      <w:pPr>
        <w:pStyle w:val="Normal"/>
        <w:rPr>
          <w:sz w:val="22"/>
        </w:rPr>
      </w:pPr>
      <w:r>
        <w:rPr>
          <w:sz w:val="22"/>
        </w:rPr>
      </w:r>
    </w:p>
    <w:p>
      <w:pPr>
        <w:pStyle w:val="Normal"/>
        <w:numPr>
          <w:ilvl w:val="0"/>
          <w:numId w:val="5"/>
        </w:numPr>
        <w:rPr>
          <w:sz w:val="22"/>
        </w:rPr>
      </w:pPr>
      <w:r>
        <w:rPr>
          <w:b/>
          <w:sz w:val="22"/>
          <w:u w:val="single"/>
        </w:rPr>
        <w:t>Risk Management System and Controls</w:t>
      </w:r>
      <w:r>
        <w:rPr>
          <w:sz w:val="22"/>
        </w:rPr>
        <w:t>: Provides daily positional reporting including daily profit and loss, deal and curve entry, VAR reporting and limits monitoring;</w:t>
      </w:r>
    </w:p>
    <w:p>
      <w:pPr>
        <w:pStyle w:val="Normal"/>
        <w:numPr>
          <w:ilvl w:val="0"/>
          <w:numId w:val="5"/>
        </w:numPr>
        <w:rPr>
          <w:sz w:val="22"/>
        </w:rPr>
      </w:pPr>
      <w:r>
        <w:rPr>
          <w:b/>
          <w:sz w:val="22"/>
          <w:u w:val="single"/>
        </w:rPr>
        <w:t>Deal Clearing</w:t>
      </w:r>
      <w:r>
        <w:rPr>
          <w:sz w:val="22"/>
        </w:rPr>
        <w:t>: Prepares customer confirmations, contracts and broker check-outs; interfaces with NewCo’s credit/legal groups; and monitors deal integrity;</w:t>
      </w:r>
    </w:p>
    <w:p>
      <w:pPr>
        <w:pStyle w:val="Normal"/>
        <w:numPr>
          <w:ilvl w:val="0"/>
          <w:numId w:val="5"/>
        </w:numPr>
        <w:rPr>
          <w:sz w:val="22"/>
        </w:rPr>
      </w:pPr>
      <w:r>
        <w:rPr>
          <w:b/>
          <w:sz w:val="22"/>
          <w:u w:val="single"/>
        </w:rPr>
        <w:t>Settlements</w:t>
      </w:r>
      <w:r>
        <w:rPr>
          <w:sz w:val="22"/>
        </w:rPr>
        <w:t>:  Provides reconciliation of invoices and payments to general ledger, cash management and cash settlements with counterparties;</w:t>
      </w:r>
    </w:p>
    <w:p>
      <w:pPr>
        <w:pStyle w:val="Normal"/>
        <w:numPr>
          <w:ilvl w:val="0"/>
          <w:numId w:val="5"/>
        </w:numPr>
        <w:rPr>
          <w:sz w:val="22"/>
        </w:rPr>
      </w:pPr>
      <w:r>
        <w:rPr>
          <w:b/>
          <w:sz w:val="22"/>
          <w:u w:val="single"/>
        </w:rPr>
        <w:t>Scheduling and Nominations</w:t>
      </w:r>
      <w:r>
        <w:rPr>
          <w:sz w:val="22"/>
        </w:rPr>
        <w:t>: 24 Hour OASIS transmission scheduling, tagging, schedule verification and monitoring, fuel nominations and balancing.</w:t>
      </w:r>
    </w:p>
    <w:p>
      <w:pPr>
        <w:pStyle w:val="Normal"/>
        <w:rPr>
          <w:b/>
          <w:sz w:val="22"/>
          <w:u w:val="single"/>
        </w:rPr>
      </w:pPr>
      <w:r>
        <w:rPr>
          <w:b/>
          <w:sz w:val="22"/>
          <w:u w:val="single"/>
        </w:rPr>
      </w:r>
    </w:p>
    <w:p>
      <w:pPr>
        <w:pStyle w:val="Normal"/>
        <w:rPr>
          <w:b/>
          <w:sz w:val="22"/>
          <w:u w:val="single"/>
        </w:rPr>
      </w:pPr>
      <w:r>
        <w:rPr>
          <w:b/>
          <w:sz w:val="22"/>
          <w:u w:val="single"/>
        </w:rPr>
      </w:r>
    </w:p>
    <w:p>
      <w:pPr>
        <w:pStyle w:val="Normal"/>
        <w:numPr>
          <w:ilvl w:val="0"/>
          <w:numId w:val="4"/>
        </w:numPr>
        <w:rPr>
          <w:b/>
          <w:sz w:val="22"/>
          <w:u w:val="single"/>
        </w:rPr>
      </w:pPr>
      <w:r>
        <w:rPr>
          <w:b/>
          <w:sz w:val="22"/>
          <w:u w:val="single"/>
        </w:rPr>
        <w:t>Proposed NewCo Capital Structure:</w:t>
      </w:r>
    </w:p>
    <w:p>
      <w:pPr>
        <w:pStyle w:val="Normal"/>
        <w:rPr>
          <w:b/>
          <w:sz w:val="22"/>
          <w:u w:val="single"/>
        </w:rPr>
      </w:pPr>
      <w:r>
        <w:rPr>
          <w:b/>
          <w:sz w:val="22"/>
          <w:u w:val="single"/>
        </w:rPr>
      </w:r>
    </w:p>
    <w:p>
      <w:pPr>
        <w:pStyle w:val="Normal"/>
        <w:numPr>
          <w:ilvl w:val="0"/>
          <w:numId w:val="2"/>
        </w:numPr>
        <w:rPr>
          <w:sz w:val="22"/>
        </w:rPr>
      </w:pPr>
      <w:r>
        <w:rPr>
          <w:sz w:val="22"/>
        </w:rPr>
        <w:t>Debt: TBD</w:t>
      </w:r>
    </w:p>
    <w:p>
      <w:pPr>
        <w:pStyle w:val="Normal"/>
        <w:numPr>
          <w:ilvl w:val="0"/>
          <w:numId w:val="2"/>
        </w:numPr>
        <w:rPr>
          <w:sz w:val="22"/>
        </w:rPr>
      </w:pPr>
      <w:r>
        <w:rPr>
          <w:sz w:val="22"/>
        </w:rPr>
        <w:t>Equity: Public float up to 40%</w:t>
      </w:r>
    </w:p>
    <w:p>
      <w:pPr>
        <w:pStyle w:val="Normal"/>
        <w:rPr>
          <w:sz w:val="22"/>
        </w:rPr>
      </w:pPr>
      <w:r>
        <w:rPr>
          <w:sz w:val="22"/>
        </w:rPr>
      </w:r>
    </w:p>
    <w:p>
      <w:pPr>
        <w:pStyle w:val="Normal"/>
        <w:rPr>
          <w:sz w:val="22"/>
        </w:rPr>
      </w:pPr>
      <w:r>
        <w:rPr>
          <w:sz w:val="22"/>
        </w:rPr>
        <w:t>ENA and FPL Energy would each receive cash and the remaining 60% of NewCo’s stock in exchange for contributing plants, turbines and development projects to NewCo.</w:t>
      </w:r>
    </w:p>
    <w:p>
      <w:pPr>
        <w:pStyle w:val="Normal"/>
        <w:rPr>
          <w:sz w:val="22"/>
        </w:rPr>
      </w:pPr>
      <w:r>
        <w:rPr>
          <w:sz w:val="22"/>
        </w:rPr>
      </w:r>
    </w:p>
    <w:p>
      <w:pPr>
        <w:pStyle w:val="Normal"/>
        <w:rPr>
          <w:sz w:val="22"/>
        </w:rPr>
      </w:pPr>
      <w:r>
        <w:rPr>
          <w:sz w:val="22"/>
        </w:rPr>
      </w:r>
    </w:p>
    <w:p>
      <w:pPr>
        <w:pStyle w:val="Normal"/>
        <w:numPr>
          <w:ilvl w:val="0"/>
          <w:numId w:val="4"/>
        </w:numPr>
        <w:rPr>
          <w:b/>
          <w:sz w:val="22"/>
          <w:u w:val="single"/>
        </w:rPr>
      </w:pPr>
      <w:r>
        <w:rPr>
          <w:b/>
          <w:sz w:val="22"/>
          <w:u w:val="single"/>
        </w:rPr>
        <w:t>Development:</w:t>
      </w:r>
    </w:p>
    <w:p>
      <w:pPr>
        <w:pStyle w:val="Normal"/>
        <w:rPr>
          <w:b/>
          <w:sz w:val="22"/>
          <w:u w:val="single"/>
        </w:rPr>
      </w:pPr>
      <w:r>
        <w:rPr>
          <w:b/>
          <w:sz w:val="22"/>
          <w:u w:val="single"/>
        </w:rPr>
      </w:r>
    </w:p>
    <w:p>
      <w:pPr>
        <w:pStyle w:val="Normal"/>
        <w:rPr>
          <w:sz w:val="22"/>
        </w:rPr>
      </w:pPr>
      <w:r>
        <w:rPr>
          <w:sz w:val="22"/>
        </w:rPr>
        <w:t xml:space="preserve">ENA and FPL Energy would staff a fully functional development capability inside NewCo.  ENA and FPL Energy would initially provide sites, turbines and other capabilities necessary to demonstrate a backlog of projects and a greenfield development capability. </w:t>
      </w:r>
    </w:p>
    <w:p>
      <w:pPr>
        <w:pStyle w:val="Normal"/>
        <w:rPr>
          <w:sz w:val="22"/>
        </w:rPr>
      </w:pPr>
      <w:r>
        <w:rPr>
          <w:sz w:val="22"/>
        </w:rPr>
      </w:r>
    </w:p>
    <w:p>
      <w:pPr>
        <w:pStyle w:val="Normal"/>
        <w:rPr>
          <w:sz w:val="22"/>
        </w:rPr>
      </w:pPr>
      <w:r>
        <w:rPr>
          <w:sz w:val="22"/>
        </w:rPr>
      </w:r>
    </w:p>
    <w:p>
      <w:pPr>
        <w:pStyle w:val="Normal"/>
        <w:numPr>
          <w:ilvl w:val="0"/>
          <w:numId w:val="4"/>
        </w:numPr>
        <w:rPr>
          <w:b/>
          <w:sz w:val="22"/>
          <w:u w:val="single"/>
        </w:rPr>
      </w:pPr>
      <w:r>
        <w:rPr>
          <w:b/>
          <w:sz w:val="22"/>
          <w:u w:val="single"/>
        </w:rPr>
        <w:t>ENA Contributed Assets:</w:t>
      </w:r>
    </w:p>
    <w:p>
      <w:pPr>
        <w:pStyle w:val="Heading4"/>
        <w:ind w:hanging="0" w:start="0" w:end="0"/>
        <w:rPr>
          <w:b w:val="false"/>
          <w:sz w:val="16"/>
          <w:u w:val="single"/>
        </w:rPr>
      </w:pPr>
      <w:r>
        <w:rPr>
          <w:b w:val="false"/>
          <w:sz w:val="16"/>
          <w:u w:val="single"/>
        </w:rPr>
      </w:r>
    </w:p>
    <w:p>
      <w:pPr>
        <w:pStyle w:val="Normal"/>
        <w:ind w:firstLine="720" w:start="5040" w:end="0"/>
        <w:rPr/>
      </w:pPr>
      <w:r>
        <w:rPr>
          <w:sz w:val="22"/>
        </w:rPr>
        <w:t xml:space="preserve">    </w:t>
      </w:r>
      <w:r>
        <w:rPr>
          <w:sz w:val="22"/>
          <w:u w:val="single"/>
        </w:rPr>
        <w:t xml:space="preserve">Value </w:t>
      </w:r>
    </w:p>
    <w:p>
      <w:pPr>
        <w:pStyle w:val="Normal"/>
        <w:ind w:start="3600" w:end="0"/>
        <w:rPr>
          <w:sz w:val="16"/>
          <w:u w:val="single"/>
        </w:rPr>
      </w:pPr>
      <w:r>
        <w:rPr>
          <w:sz w:val="16"/>
          <w:u w:val="single"/>
        </w:rPr>
      </w:r>
    </w:p>
    <w:p>
      <w:pPr>
        <w:pStyle w:val="Heading4"/>
        <w:spacing w:before="120" w:after="0"/>
        <w:ind w:start="1260" w:end="0"/>
        <w:rPr>
          <w:b w:val="false"/>
          <w:sz w:val="22"/>
        </w:rPr>
      </w:pPr>
      <w:r>
        <w:rPr>
          <w:b w:val="false"/>
          <w:sz w:val="22"/>
        </w:rPr>
        <w:t>- Peakers:</w:t>
        <w:tab/>
        <w:tab/>
        <w:tab/>
        <w:tab/>
        <w:tab/>
        <w:tab/>
        <w:t>$1,100 million</w:t>
      </w:r>
    </w:p>
    <w:p>
      <w:pPr>
        <w:pStyle w:val="Normal"/>
        <w:spacing w:before="120" w:after="0"/>
        <w:ind w:firstLine="720" w:end="0"/>
        <w:rPr>
          <w:sz w:val="22"/>
        </w:rPr>
      </w:pPr>
      <w:r>
        <w:rPr>
          <w:sz w:val="22"/>
        </w:rPr>
        <w:t>- Moore project:</w:t>
        <w:tab/>
        <w:tab/>
        <w:tab/>
        <w:tab/>
        <w:tab/>
        <w:t>TBD</w:t>
      </w:r>
      <w:r>
        <w:rPr>
          <w:sz w:val="22"/>
          <w:vertAlign w:val="superscript"/>
        </w:rPr>
        <w:t>1</w:t>
      </w:r>
    </w:p>
    <w:p>
      <w:pPr>
        <w:pStyle w:val="Normal"/>
        <w:spacing w:before="120" w:after="0"/>
        <w:ind w:hanging="5040" w:start="5760" w:end="0"/>
        <w:rPr/>
      </w:pPr>
      <w:r>
        <w:rPr>
          <w:sz w:val="22"/>
        </w:rPr>
        <w:t>- Pastoria and LV Cogen II development projects:</w:t>
        <w:tab/>
        <w:t>$136 million</w:t>
      </w:r>
      <w:r>
        <w:rPr>
          <w:sz w:val="22"/>
          <w:vertAlign w:val="superscript"/>
        </w:rPr>
        <w:t>2</w:t>
      </w:r>
      <w:r>
        <w:rPr>
          <w:sz w:val="22"/>
        </w:rPr>
        <w:t xml:space="preserve"> plus LM 6000’s and 3 GE 7 FA commitments</w:t>
      </w:r>
    </w:p>
    <w:p>
      <w:pPr>
        <w:pStyle w:val="Normal"/>
        <w:spacing w:before="120" w:after="0"/>
        <w:ind w:firstLine="720" w:end="0"/>
        <w:rPr>
          <w:sz w:val="22"/>
        </w:rPr>
      </w:pPr>
      <w:r>
        <w:rPr>
          <w:sz w:val="22"/>
        </w:rPr>
        <w:t>- Other Sites and Turbines:</w:t>
        <w:tab/>
        <w:tab/>
        <w:tab/>
        <w:tab/>
        <w:t>TBD</w:t>
      </w:r>
      <w:r>
        <w:rPr>
          <w:sz w:val="22"/>
          <w:vertAlign w:val="superscript"/>
        </w:rPr>
        <w:t>1</w:t>
      </w:r>
    </w:p>
    <w:p>
      <w:pPr>
        <w:pStyle w:val="Normal"/>
        <w:rPr>
          <w:sz w:val="22"/>
        </w:rPr>
      </w:pPr>
      <w:r>
        <w:rPr>
          <w:sz w:val="22"/>
        </w:rPr>
      </w:r>
    </w:p>
    <w:p>
      <w:pPr>
        <w:pStyle w:val="Normal"/>
        <w:numPr>
          <w:ilvl w:val="0"/>
          <w:numId w:val="3"/>
        </w:numPr>
        <w:rPr/>
      </w:pPr>
      <w:r>
        <w:rPr/>
        <w:t>To be determined at a later date.</w:t>
      </w:r>
    </w:p>
    <w:p>
      <w:pPr>
        <w:pStyle w:val="Normal"/>
        <w:numPr>
          <w:ilvl w:val="0"/>
          <w:numId w:val="3"/>
        </w:numPr>
        <w:rPr>
          <w:color w:val="000000"/>
          <w:lang w:eastAsia="en-US"/>
        </w:rPr>
      </w:pPr>
      <w:r>
        <w:rPr>
          <w:color w:val="000000"/>
          <w:lang w:eastAsia="en-US"/>
        </w:rPr>
        <w:t xml:space="preserve">Includes approximately $115 million for Pastoria and $21 million for LV Cogen II, and is subject to completion of certain agreed upon development milestones including execution of gas supply and transportation agreements, interconnection agreements, receipt of air permits (CEC permit in California), ERC’s and EPC agreements. </w:t>
        <w:tab/>
      </w:r>
    </w:p>
    <w:p>
      <w:pPr>
        <w:pStyle w:val="Heading4"/>
        <w:rPr>
          <w:b w:val="false"/>
          <w:color w:val="000000"/>
          <w:sz w:val="22"/>
          <w:lang w:eastAsia="en-US"/>
        </w:rPr>
      </w:pPr>
      <w:r>
        <w:rPr>
          <w:b w:val="false"/>
          <w:color w:val="000000"/>
          <w:sz w:val="22"/>
          <w:lang w:eastAsia="en-US"/>
        </w:rPr>
      </w:r>
    </w:p>
    <w:p>
      <w:pPr>
        <w:pStyle w:val="Normal"/>
        <w:rPr>
          <w:b/>
          <w:sz w:val="22"/>
        </w:rPr>
      </w:pPr>
      <w:r>
        <w:rPr>
          <w:b/>
          <w:sz w:val="22"/>
        </w:rPr>
      </w:r>
    </w:p>
    <w:p>
      <w:pPr>
        <w:pStyle w:val="Normal"/>
        <w:numPr>
          <w:ilvl w:val="0"/>
          <w:numId w:val="4"/>
        </w:numPr>
        <w:rPr>
          <w:b/>
          <w:sz w:val="22"/>
          <w:u w:val="single"/>
        </w:rPr>
      </w:pPr>
      <w:r>
        <w:rPr>
          <w:b/>
          <w:sz w:val="22"/>
          <w:u w:val="single"/>
        </w:rPr>
        <w:t>PPA’s:</w:t>
      </w:r>
    </w:p>
    <w:p>
      <w:pPr>
        <w:pStyle w:val="Heading4"/>
        <w:rPr>
          <w:b w:val="false"/>
          <w:sz w:val="22"/>
          <w:u w:val="single"/>
        </w:rPr>
      </w:pPr>
      <w:r>
        <w:rPr>
          <w:b w:val="false"/>
          <w:sz w:val="22"/>
          <w:u w:val="single"/>
        </w:rPr>
      </w:r>
    </w:p>
    <w:p>
      <w:pPr>
        <w:pStyle w:val="Normal"/>
        <w:rPr>
          <w:sz w:val="22"/>
        </w:rPr>
      </w:pPr>
      <w:r>
        <w:rPr>
          <w:sz w:val="22"/>
        </w:rPr>
        <w:t xml:space="preserve">ENA would like to retain a three year tolling agreement on the 1999 and 2000 Peakers beginning 2001. Further, ENA would like to retain a five year tolling agreement on Project Moore beginning Summer 2001. A proposed tolling contract is attached. ENA would potentially like to discuss offtake agreements on Pastoria and LV Cogen II at a future date.   </w:t>
      </w:r>
    </w:p>
    <w:p>
      <w:pPr>
        <w:pStyle w:val="Normal"/>
        <w:rPr>
          <w:sz w:val="22"/>
        </w:rPr>
      </w:pPr>
      <w:r>
        <w:rPr>
          <w:sz w:val="22"/>
        </w:rPr>
      </w:r>
    </w:p>
    <w:p>
      <w:pPr>
        <w:pStyle w:val="Normal"/>
        <w:rPr>
          <w:sz w:val="22"/>
        </w:rPr>
      </w:pPr>
      <w:r>
        <w:rPr>
          <w:sz w:val="22"/>
        </w:rPr>
      </w:r>
    </w:p>
    <w:p>
      <w:pPr>
        <w:pStyle w:val="Normal"/>
        <w:numPr>
          <w:ilvl w:val="0"/>
          <w:numId w:val="4"/>
        </w:numPr>
        <w:rPr>
          <w:b/>
          <w:sz w:val="22"/>
          <w:u w:val="single"/>
        </w:rPr>
      </w:pPr>
      <w:r>
        <w:rPr>
          <w:b/>
          <w:sz w:val="22"/>
          <w:u w:val="single"/>
        </w:rPr>
        <w:t>FPL Energy Contributed Assets:</w:t>
      </w:r>
    </w:p>
    <w:p>
      <w:pPr>
        <w:pStyle w:val="Heading4"/>
        <w:rPr>
          <w:b w:val="false"/>
          <w:sz w:val="22"/>
          <w:u w:val="single"/>
        </w:rPr>
      </w:pPr>
      <w:r>
        <w:rPr>
          <w:b w:val="false"/>
          <w:sz w:val="22"/>
          <w:u w:val="single"/>
        </w:rPr>
      </w:r>
    </w:p>
    <w:p>
      <w:pPr>
        <w:pStyle w:val="FootnoteText"/>
        <w:rPr>
          <w:sz w:val="22"/>
        </w:rPr>
      </w:pPr>
      <w:r>
        <w:rPr>
          <w:sz w:val="22"/>
        </w:rPr>
        <w:t>To be determined</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1080"/>
        </w:tabs>
        <w:ind w:start="1080" w:hanging="360"/>
      </w:pPr>
      <w:rPr>
        <w:rFonts w:ascii="Liberation Serif" w:hAnsi="Liberation Serif" w:cs="Liberation Serif" w:hint="default"/>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4">
    <w:name w:val="heading 4"/>
    <w:basedOn w:val="Normal"/>
    <w:next w:val="Normal"/>
    <w:qFormat/>
    <w:pPr>
      <w:keepNext w:val="true"/>
      <w:numPr>
        <w:ilvl w:val="3"/>
        <w:numId w:val="1"/>
      </w:numPr>
      <w:ind w:hanging="540" w:start="540" w:end="0"/>
      <w:outlineLvl w:val="3"/>
    </w:pPr>
    <w:rPr>
      <w:b/>
      <w:color w:val="000000"/>
      <w:sz w:val="40"/>
      <w:lang w:eastAsia="en-U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sz w:val="2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2000-06-13T09:57:00Z</dcterms:created>
  <dc:creator>Jinsung Myung</dc:creator>
  <dc:description/>
  <dc:language>en-CA</dc:language>
  <cp:lastModifiedBy>Jinsung Myung</cp:lastModifiedBy>
  <dcterms:modified xsi:type="dcterms:W3CDTF">2000-06-13T09:58:00Z</dcterms:modified>
  <cp:revision>1</cp:revision>
  <dc:subject/>
  <dc:title>DRAFT FOR REVIEW AND DISCUSSION PURPOSES ONLY</dc:title>
</cp:coreProperties>
</file>