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t>[Letterhead of</w:t>
      </w:r>
    </w:p>
    <w:p>
      <w:pPr>
        <w:pStyle w:val="Normal"/>
        <w:jc w:val="center"/>
        <w:rPr/>
      </w:pPr>
      <w:r>
        <w:rPr/>
        <w:t>Counsel to Counterparty]</w:t>
      </w:r>
    </w:p>
    <w:p>
      <w:pPr>
        <w:pStyle w:val="Normal"/>
        <w:jc w:val="center"/>
        <w:rPr/>
      </w:pPr>
      <w:r>
        <w:rPr/>
      </w:r>
    </w:p>
    <w:p>
      <w:pPr>
        <w:pStyle w:val="Normal"/>
        <w:jc w:val="center"/>
        <w:rPr/>
      </w:pPr>
      <w:r>
        <w:rPr/>
      </w:r>
    </w:p>
    <w:p>
      <w:pPr>
        <w:pStyle w:val="Normal"/>
        <w:jc w:val="center"/>
        <w:rPr/>
      </w:pPr>
      <w:r>
        <w:rPr/>
        <w:t>[Date]</w:t>
      </w:r>
    </w:p>
    <w:p>
      <w:pPr>
        <w:pStyle w:val="Normal"/>
        <w:jc w:val="center"/>
        <w:rPr/>
      </w:pPr>
      <w:r>
        <w:rPr/>
      </w:r>
    </w:p>
    <w:p>
      <w:pPr>
        <w:pStyle w:val="Normal"/>
        <w:jc w:val="center"/>
        <w:rPr/>
      </w:pPr>
      <w:r>
        <w:rPr/>
      </w:r>
    </w:p>
    <w:p>
      <w:pPr>
        <w:pStyle w:val="Normal"/>
        <w:rPr/>
      </w:pPr>
      <w:r>
        <w:rPr/>
        <w:t>Enron North America Corp.</w:t>
      </w:r>
    </w:p>
    <w:p>
      <w:pPr>
        <w:pStyle w:val="Normal"/>
        <w:rPr/>
      </w:pPr>
      <w:r>
        <w:rPr/>
        <w:t>1400 Smith Street</w:t>
      </w:r>
    </w:p>
    <w:p>
      <w:pPr>
        <w:pStyle w:val="Normal"/>
        <w:rPr/>
      </w:pPr>
      <w:r>
        <w:rPr/>
        <w:t>Houston, Texas  77002</w:t>
      </w:r>
    </w:p>
    <w:p>
      <w:pPr>
        <w:pStyle w:val="Normal"/>
        <w:rPr/>
      </w:pPr>
      <w:r>
        <w:rPr/>
      </w:r>
    </w:p>
    <w:p>
      <w:pPr>
        <w:pStyle w:val="Normal"/>
        <w:rPr/>
      </w:pPr>
      <w:r>
        <w:rPr/>
        <w:t>Dear Sir or Madam:</w:t>
      </w:r>
    </w:p>
    <w:p>
      <w:pPr>
        <w:pStyle w:val="Normal"/>
        <w:rPr/>
      </w:pPr>
      <w:r>
        <w:rPr/>
      </w:r>
    </w:p>
    <w:p>
      <w:pPr>
        <w:pStyle w:val="Normal"/>
        <w:ind w:firstLine="1440" w:end="0"/>
        <w:jc w:val="both"/>
        <w:rPr/>
      </w:pPr>
      <w:r>
        <w:rPr/>
        <w:t xml:space="preserve">We have acted as counsel to [                       ] (the “Counterparty”), in connection with the execution and delivery by the Counterparty of the Confirmation relating to that certain transaction with a Trade Date of                      ,19     , which constitutes a supplement to , and forms a part of, the ISDA Master Agreement dated as of </w:t>
      </w:r>
    </w:p>
    <w:p>
      <w:pPr>
        <w:pStyle w:val="Normal"/>
        <w:jc w:val="both"/>
        <w:rPr/>
      </w:pPr>
      <w:r>
        <w:rPr/>
        <w:t xml:space="preserve">         </w:t>
      </w:r>
      <w:r>
        <w:rPr/>
        <w:t>, 19    (such Transaction and the ISDA Master Agreement to which it is subject being hereinafter referred to as the “Agreement”), between you and the Counterparty.</w:t>
      </w:r>
    </w:p>
    <w:p>
      <w:pPr>
        <w:pStyle w:val="Normal"/>
        <w:jc w:val="both"/>
        <w:rPr/>
      </w:pPr>
      <w:r>
        <w:rPr/>
      </w:r>
    </w:p>
    <w:p>
      <w:pPr>
        <w:pStyle w:val="Normal"/>
        <w:jc w:val="both"/>
        <w:rPr/>
      </w:pPr>
      <w:r>
        <w:rPr/>
        <w:tab/>
        <w:tab/>
        <w:t>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United States of America and [              ].</w:t>
      </w:r>
    </w:p>
    <w:p>
      <w:pPr>
        <w:pStyle w:val="Normal"/>
        <w:jc w:val="both"/>
        <w:rPr/>
      </w:pPr>
      <w:r>
        <w:rPr/>
      </w:r>
    </w:p>
    <w:p>
      <w:pPr>
        <w:pStyle w:val="Normal"/>
        <w:jc w:val="both"/>
        <w:rPr/>
      </w:pPr>
      <w:r>
        <w:rPr/>
        <w:tab/>
        <w:tab/>
        <w:t>Based upon the foregoing and having regard for such legal considerations as we deem relevant, we are of opinion that:</w:t>
      </w:r>
    </w:p>
    <w:p>
      <w:pPr>
        <w:pStyle w:val="Normal"/>
        <w:jc w:val="both"/>
        <w:rPr/>
      </w:pPr>
      <w:r>
        <w:rPr/>
      </w:r>
    </w:p>
    <w:p>
      <w:pPr>
        <w:pStyle w:val="Normal"/>
        <w:tabs>
          <w:tab w:val="clear" w:pos="720"/>
          <w:tab w:val="left" w:pos="1440" w:leader="none"/>
        </w:tabs>
        <w:jc w:val="both"/>
        <w:rPr/>
      </w:pPr>
      <w:r>
        <w:rPr/>
        <w:tab/>
        <w:t>1.  The Counterparty is a [                        ] duly existing under the laws of [                  ].</w:t>
      </w:r>
    </w:p>
    <w:p>
      <w:pPr>
        <w:pStyle w:val="Normal"/>
        <w:tabs>
          <w:tab w:val="clear" w:pos="720"/>
          <w:tab w:val="left" w:pos="1440" w:leader="none"/>
        </w:tabs>
        <w:jc w:val="both"/>
        <w:rPr/>
      </w:pPr>
      <w:r>
        <w:rPr/>
      </w:r>
    </w:p>
    <w:p>
      <w:pPr>
        <w:pStyle w:val="Normal"/>
        <w:tabs>
          <w:tab w:val="clear" w:pos="720"/>
          <w:tab w:val="left" w:pos="1440" w:leader="none"/>
        </w:tabs>
        <w:jc w:val="both"/>
        <w:rPr/>
      </w:pPr>
      <w:r>
        <w:rPr/>
        <w:tab/>
        <w:t>2.  The Counterparty has full corporate power to execute and deliver the Agreement and to perform its obligations thereunder.</w:t>
      </w:r>
    </w:p>
    <w:p>
      <w:pPr>
        <w:pStyle w:val="Normal"/>
        <w:tabs>
          <w:tab w:val="clear" w:pos="720"/>
          <w:tab w:val="left" w:pos="1440" w:leader="none"/>
        </w:tabs>
        <w:jc w:val="both"/>
        <w:rPr/>
      </w:pPr>
      <w:r>
        <w:rPr/>
      </w:r>
    </w:p>
    <w:p>
      <w:pPr>
        <w:pStyle w:val="Normal"/>
        <w:tabs>
          <w:tab w:val="clear" w:pos="720"/>
          <w:tab w:val="left" w:pos="1440" w:leader="none"/>
        </w:tabs>
        <w:jc w:val="both"/>
        <w:rPr/>
      </w:pPr>
      <w:r>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pPr>
      <w:r>
        <w:rPr/>
      </w:r>
    </w:p>
    <w:p>
      <w:pPr>
        <w:pStyle w:val="Normal"/>
        <w:tabs>
          <w:tab w:val="clear" w:pos="720"/>
          <w:tab w:val="left" w:pos="1440" w:leader="none"/>
        </w:tabs>
        <w:jc w:val="both"/>
        <w:rPr/>
      </w:pPr>
      <w:r>
        <w:rPr/>
        <w:tab/>
        <w:t>4.  All authorizations of, exemptions by and filings with any governmental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pPr>
      <w:r>
        <w:rPr/>
      </w:r>
    </w:p>
    <w:p>
      <w:pPr>
        <w:pStyle w:val="Normal"/>
        <w:tabs>
          <w:tab w:val="clear" w:pos="720"/>
          <w:tab w:val="left" w:pos="1440" w:leader="none"/>
        </w:tabs>
        <w:jc w:val="both"/>
        <w:rPr/>
      </w:pPr>
      <w:r>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pPr>
      <w:r>
        <w:rPr/>
      </w:r>
    </w:p>
    <w:p>
      <w:pPr>
        <w:pStyle w:val="Normal"/>
        <w:tabs>
          <w:tab w:val="clear" w:pos="720"/>
          <w:tab w:val="left" w:pos="1440" w:leader="none"/>
        </w:tabs>
        <w:jc w:val="both"/>
        <w:rPr/>
      </w:pPr>
      <w:r>
        <w:rPr/>
        <w:tab/>
        <w:t>6. The choice of law provision set forth in the Agreement is valid and binding under the laws of [                   ] and any political subdivision thereof and would be given effect by the courts of [                       ] and any political subdivision thereof.</w:t>
      </w:r>
    </w:p>
    <w:p>
      <w:pPr>
        <w:pStyle w:val="Normal"/>
        <w:tabs>
          <w:tab w:val="clear" w:pos="720"/>
          <w:tab w:val="left" w:pos="1440" w:leader="none"/>
        </w:tabs>
        <w:jc w:val="both"/>
        <w:rPr/>
      </w:pPr>
      <w:r>
        <w:rPr/>
      </w:r>
    </w:p>
    <w:p>
      <w:pPr>
        <w:pStyle w:val="Normal"/>
        <w:tabs>
          <w:tab w:val="clear" w:pos="720"/>
          <w:tab w:val="left" w:pos="1260" w:leader="none"/>
          <w:tab w:val="left" w:pos="1440" w:leader="none"/>
        </w:tabs>
        <w:jc w:val="both"/>
        <w:rPr/>
      </w:pPr>
      <w:r>
        <w:rPr/>
        <w:tab/>
        <w:t xml:space="preserve"> 7.  The Counterparty is not entitled to claim immunity for itself or its property or assets from service of process, jurisdiction, suit, judgment, execution, attachment (whether before judgment, in aid or execution, or otherwise), nor may there be attributed to it or its property or assets any such immunity (whether or not claimed).</w:t>
      </w:r>
    </w:p>
    <w:p>
      <w:pPr>
        <w:pStyle w:val="Normal"/>
        <w:tabs>
          <w:tab w:val="clear" w:pos="720"/>
          <w:tab w:val="left" w:pos="1440" w:leader="none"/>
        </w:tabs>
        <w:jc w:val="both"/>
        <w:rPr/>
      </w:pPr>
      <w:r>
        <w:rPr/>
      </w:r>
    </w:p>
    <w:p>
      <w:pPr>
        <w:pStyle w:val="Normal"/>
        <w:tabs>
          <w:tab w:val="clear" w:pos="720"/>
          <w:tab w:val="left" w:pos="1440" w:leader="none"/>
        </w:tabs>
        <w:jc w:val="both"/>
        <w:rPr/>
      </w:pPr>
      <w:r>
        <w:rPr/>
        <w:tab/>
        <w:t>8.  The payment obligations of the Counterparty under the Agreement rank at least equally with its unsecured and unsubordinated internal and external indebtedness.</w:t>
      </w:r>
    </w:p>
    <w:p>
      <w:pPr>
        <w:pStyle w:val="Normal"/>
        <w:tabs>
          <w:tab w:val="clear" w:pos="720"/>
          <w:tab w:val="left" w:pos="1440" w:leader="none"/>
        </w:tabs>
        <w:jc w:val="both"/>
        <w:rPr/>
      </w:pPr>
      <w:r>
        <w:rPr/>
      </w:r>
    </w:p>
    <w:p>
      <w:pPr>
        <w:pStyle w:val="Normal"/>
        <w:tabs>
          <w:tab w:val="clear" w:pos="720"/>
          <w:tab w:val="left" w:pos="1260" w:leader="none"/>
          <w:tab w:val="left" w:pos="1440" w:leader="none"/>
        </w:tabs>
        <w:jc w:val="both"/>
        <w:rPr/>
      </w:pPr>
      <w:r>
        <w:rPr/>
        <w:tab/>
        <w:t>[9.  The security interest granted by the Counterparty to Enron North America Corp. pursuant to the Collateral Annex (the “Security Agreement”) constitutes a valid, first prior perfected and enforceable security interest in, and lien on, all of the Counterparty’s right, title and interest in and to the collateral (as defined in the Security Agreement), subject to no equal or prior security interests or liens of any kind whatsoever.]</w:t>
      </w:r>
    </w:p>
    <w:p>
      <w:pPr>
        <w:pStyle w:val="Normal"/>
        <w:tabs>
          <w:tab w:val="clear" w:pos="720"/>
          <w:tab w:val="left" w:pos="1260" w:leader="none"/>
          <w:tab w:val="left" w:pos="1440" w:leader="none"/>
        </w:tabs>
        <w:rPr/>
      </w:pPr>
      <w:r>
        <w:rPr/>
      </w:r>
    </w:p>
    <w:p>
      <w:pPr>
        <w:pStyle w:val="Normal"/>
        <w:tabs>
          <w:tab w:val="clear" w:pos="720"/>
          <w:tab w:val="left" w:pos="1440" w:leader="none"/>
        </w:tabs>
        <w:rPr/>
      </w:pPr>
      <w:r>
        <w:rPr/>
        <w:tab/>
        <w:tab/>
        <w:tab/>
        <w:tab/>
        <w:tab/>
        <w:tab/>
        <w:t>Very truly yours,</w:t>
      </w:r>
    </w:p>
    <w:p>
      <w:pPr>
        <w:pStyle w:val="Normal"/>
        <w:tabs>
          <w:tab w:val="clear" w:pos="720"/>
          <w:tab w:val="left" w:pos="1440" w:leader="none"/>
        </w:tabs>
        <w:rPr/>
      </w:pPr>
      <w:r>
        <w:rPr/>
      </w:r>
    </w:p>
    <w:p>
      <w:pPr>
        <w:pStyle w:val="Normal"/>
        <w:tabs>
          <w:tab w:val="clear" w:pos="720"/>
          <w:tab w:val="left" w:pos="1440" w:leader="none"/>
        </w:tabs>
        <w:rPr/>
      </w:pPr>
      <w:r>
        <w:rPr/>
      </w:r>
    </w:p>
    <w:p>
      <w:pPr>
        <w:pStyle w:val="Normal"/>
        <w:tabs>
          <w:tab w:val="clear" w:pos="720"/>
          <w:tab w:val="left" w:pos="1440" w:leader="none"/>
        </w:tabs>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1999-01-18T14:46:00Z</dcterms:created>
  <dc:creator>Brent Hendry</dc:creator>
  <dc:description/>
  <dc:language>en-CA</dc:language>
  <cp:lastModifiedBy>sstack</cp:lastModifiedBy>
  <cp:lastPrinted>1999-01-15T13:35:00Z</cp:lastPrinted>
  <dcterms:modified xsi:type="dcterms:W3CDTF">1999-12-09T16:15:00Z</dcterms:modified>
  <cp:revision>6</cp:revision>
  <dc:subject/>
  <dc:title>								[Draft--12\11\95]</dc:title>
</cp:coreProperties>
</file>