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b/>
          <w:sz w:val="18"/>
          <w:u w:val="single"/>
        </w:rPr>
      </w:pPr>
      <w:r>
        <w:rPr>
          <w:b/>
          <w:sz w:val="18"/>
          <w:u w:val="single"/>
        </w:rPr>
        <w:t>ANNEX A</w:t>
      </w:r>
    </w:p>
    <w:p>
      <w:pPr>
        <w:pStyle w:val="Justified"/>
        <w:jc w:val="center"/>
        <w:rPr>
          <w:b/>
          <w:sz w:val="18"/>
        </w:rPr>
      </w:pPr>
      <w:r>
        <w:rPr>
          <w:b/>
          <w:sz w:val="18"/>
        </w:rPr>
        <w:t>ENRON CAPITAL &amp; TRADE RESOURCES CORP.</w:t>
      </w:r>
    </w:p>
    <w:p>
      <w:pPr>
        <w:pStyle w:val="Justified"/>
        <w:jc w:val="center"/>
        <w:rPr>
          <w:b/>
          <w:sz w:val="18"/>
        </w:rPr>
      </w:pPr>
      <w:r>
        <w:rPr>
          <w:b/>
          <w:sz w:val="18"/>
        </w:rPr>
        <w:t>GENERAL TERMS AND CONDITIONS FOR NOx EMISSION ALLOWANCE TRANSACTIONS</w:t>
      </w:r>
    </w:p>
    <w:p>
      <w:pPr>
        <w:pStyle w:val="Heading2"/>
        <w:ind w:hanging="0" w:start="0"/>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FOR TRANSACTIONS</w:t>
      </w:r>
    </w:p>
    <w:p>
      <w:pPr>
        <w:pStyle w:val="Heading2"/>
        <w:spacing w:before="120" w:after="120"/>
        <w:ind w:hanging="0" w:start="0"/>
        <w:rPr/>
      </w:pPr>
      <w:r>
        <w:rPr>
          <w:b/>
          <w:sz w:val="18"/>
        </w:rPr>
        <w:t>1.1</w:t>
      </w:r>
      <w:r>
        <w:rPr>
          <w:sz w:val="18"/>
        </w:rPr>
        <w:t xml:space="preserve"> </w:t>
      </w:r>
      <w:r>
        <w:rPr>
          <w:b/>
          <w:sz w:val="18"/>
          <w:u w:val="single"/>
        </w:rPr>
        <w:t>Scope of Agreement</w:t>
      </w:r>
      <w:r>
        <w:rPr>
          <w:sz w:val="18"/>
        </w:rPr>
        <w:t xml:space="preserve">.  From time to time, Enron Capital &amp; Trade Resources Corp. </w:t>
      </w:r>
      <w:r>
        <w:rPr>
          <w:b/>
          <w:sz w:val="18"/>
        </w:rPr>
        <w:t>("</w:t>
      </w:r>
      <w:r>
        <w:rPr>
          <w:b/>
          <w:sz w:val="18"/>
          <w:u w:val="single"/>
        </w:rPr>
        <w:t>ECT"</w:t>
      </w:r>
      <w:r>
        <w:rPr>
          <w:b/>
          <w:sz w:val="18"/>
        </w:rPr>
        <w:t xml:space="preserve">) </w:t>
      </w:r>
      <w:r>
        <w:rPr>
          <w:sz w:val="18"/>
        </w:rPr>
        <w:t xml:space="preserve">and another party </w:t>
      </w:r>
      <w:r>
        <w:rPr>
          <w:b/>
          <w:sz w:val="18"/>
        </w:rPr>
        <w:t>("</w:t>
      </w:r>
      <w:r>
        <w:rPr>
          <w:b/>
          <w:sz w:val="18"/>
          <w:u w:val="single"/>
        </w:rPr>
        <w:t>Counterparty</w:t>
      </w:r>
      <w:r>
        <w:rPr>
          <w:b/>
          <w:sz w:val="18"/>
        </w:rPr>
        <w:t>")</w:t>
      </w:r>
      <w:r>
        <w:rPr>
          <w:sz w:val="18"/>
        </w:rPr>
        <w:t xml:space="preserve"> may, but shall not be obligated to, enter into binding Transactions </w:t>
      </w:r>
      <w:r>
        <w:rPr>
          <w:b/>
          <w:sz w:val="18"/>
        </w:rPr>
        <w:t>("</w:t>
      </w:r>
      <w:r>
        <w:rPr>
          <w:b/>
          <w:sz w:val="18"/>
          <w:u w:val="single"/>
        </w:rPr>
        <w:t>Transaction</w:t>
      </w:r>
      <w:r>
        <w:rPr>
          <w:b/>
          <w:sz w:val="18"/>
        </w:rPr>
        <w:t>")</w:t>
      </w:r>
      <w:r>
        <w:rPr>
          <w:sz w:val="18"/>
        </w:rPr>
        <w:t xml:space="preserve"> for the purchase, sale or exchange of Allowances or Options on Allowances.  ECT and Counterparty shall each be referred to as a "Party" herein.  Each Transaction shall be effectuated and evidenced in accordance with these General Terms and Conditions </w:t>
      </w:r>
      <w:r>
        <w:rPr>
          <w:b/>
          <w:sz w:val="18"/>
        </w:rPr>
        <w:t>("</w:t>
      </w:r>
      <w:r>
        <w:rPr>
          <w:b/>
          <w:sz w:val="18"/>
          <w:u w:val="single"/>
        </w:rPr>
        <w:t>Terms</w:t>
      </w:r>
      <w:r>
        <w:rPr>
          <w:b/>
          <w:sz w:val="18"/>
        </w:rPr>
        <w:t>")</w:t>
      </w:r>
      <w:r>
        <w:rPr>
          <w:sz w:val="18"/>
        </w:rPr>
        <w:t xml:space="preserve">.  The Parties are relying upon the fact that all Transactions, together with these Terms, shall constitute a single integrated master agreement, </w:t>
      </w:r>
      <w:r>
        <w:rPr>
          <w:b/>
          <w:sz w:val="18"/>
        </w:rPr>
        <w:t>("</w:t>
      </w:r>
      <w:r>
        <w:rPr>
          <w:b/>
          <w:sz w:val="18"/>
          <w:u w:val="single"/>
        </w:rPr>
        <w:t>Agreement</w:t>
      </w:r>
      <w:r>
        <w:rPr>
          <w:b/>
          <w:sz w:val="18"/>
        </w:rPr>
        <w:t>")</w:t>
      </w:r>
      <w:r>
        <w:rPr>
          <w:sz w:val="18"/>
        </w:rPr>
        <w:t xml:space="preserve"> and that the Parties would not otherwise enter into any Transactions. </w:t>
      </w:r>
    </w:p>
    <w:p>
      <w:pPr>
        <w:pStyle w:val="Heading2"/>
        <w:ind w:hanging="0" w:start="0"/>
        <w:rPr/>
      </w:pPr>
      <w:r>
        <w:rPr>
          <w:b/>
          <w:sz w:val="18"/>
        </w:rPr>
        <w:t>1.2</w:t>
      </w:r>
      <w:r>
        <w:rPr>
          <w:sz w:val="18"/>
        </w:rPr>
        <w:t xml:space="preserve"> </w:t>
      </w:r>
      <w:r>
        <w:rPr>
          <w:b/>
          <w:sz w:val="18"/>
          <w:u w:val="single"/>
        </w:rPr>
        <w:t>Transaction Procedures</w:t>
      </w:r>
      <w:r>
        <w:rPr>
          <w:sz w:val="18"/>
        </w:rPr>
        <w:t xml:space="preserve">. It is the intent of the Parties to facilitate Transactions in accordance with the agreed procedures in this Section 1 and assure that such Transactions are valid and enforceable as a result of the use of these procedures for the mutual benefit of the Parties. Any Transaction may be formed and effectuated (a) by a written Transaction Agreement executed by the Parties (including by facsimile and/or counterparts) or (b) in a telephone conversation that may be recorded (each Party thereby and hereby consenting to the recording of its representatives’ telephone conversations without any further notice) or other exchange of retrievable electronic communications between the Parties or their respective representatives whereby an offer and acceptance shall constitute the agreement of the Parties to a Transaction; provided, however, each Party may stipulate by prior notice to the other Party that any particular contemplated Transaction shall be effectuated and formed only by means of procedure (a) above. The Parties agree to be legally bound by the terms of the Transaction from the time on a particular date </w:t>
      </w:r>
      <w:r>
        <w:rPr>
          <w:b/>
          <w:sz w:val="18"/>
        </w:rPr>
        <w:t>("</w:t>
      </w:r>
      <w:r>
        <w:rPr>
          <w:b/>
          <w:sz w:val="18"/>
          <w:u w:val="single"/>
        </w:rPr>
        <w:t>Trade Date</w:t>
      </w:r>
      <w:r>
        <w:rPr>
          <w:b/>
          <w:sz w:val="18"/>
        </w:rPr>
        <w:t>")</w:t>
      </w:r>
      <w:r>
        <w:rPr>
          <w:sz w:val="18"/>
        </w:rPr>
        <w:t xml:space="preserve"> they agree to those terms by Transaction Agreement, telephone, by exchange of electronic communications, or otherwise, provided that one of the Parties maintains tangible documentation of such telephonic exchange or electronic communication. As a material part of the consideration for entering into a Transaction, each Party agrees not to contest or assert (and hereby releases any right to) any defense to (i) the validity or enforceability of telephonic, electronic exchange, or other Transactions entered into in accordance with these Terms under laws relating to whether certain agreements are to be in writing or signed by such Party to be thereby bound, or (ii) the authority of any employee or representative of such Party to enter into a Transaction.  All telephone recordings and retrievals of computer or other electronic messages may be introduced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Confirmation, as provided for in Section 1.3, the Confirmation shall prevail.  Any Transaction formed between the Parties pursuant to the procedures set forth in this Section 1 shall be considered to be a "writing" or "in writing" and to have been "signed", and any tape recording of a Transaction and retrievals of any computer or other electronic messages forming a Transaction shall be considered to constitute an "original" document evidencing the Transaction, and may be introduced into evidence and used to prove oral agreements as to Transactions between the Parties. The manner of entering into a Transaction as described in this Section 1.2 is not intended to be the exclusive manner of forming a binding agreement between the Parties regarding a Transaction. </w:t>
      </w:r>
    </w:p>
    <w:p>
      <w:pPr>
        <w:pStyle w:val="Heading2"/>
        <w:ind w:hanging="0" w:start="0"/>
        <w:rPr/>
      </w:pPr>
      <w:r>
        <w:rPr>
          <w:b/>
          <w:sz w:val="18"/>
        </w:rPr>
        <w:t xml:space="preserve">1.3 </w:t>
      </w:r>
      <w:r>
        <w:rPr>
          <w:b/>
          <w:sz w:val="18"/>
          <w:u w:val="single"/>
        </w:rPr>
        <w:t>Confirmations</w:t>
      </w:r>
      <w:r>
        <w:rPr>
          <w:b/>
          <w:sz w:val="18"/>
        </w:rPr>
        <w:t xml:space="preserve">. </w:t>
      </w:r>
      <w:r>
        <w:rPr>
          <w:sz w:val="18"/>
        </w:rPr>
        <w:t xml:space="preserve">In addition to, but not in lieu of, the foregoing procedures, the Parties agree that ECT may confirm a telephonic or electronic exchange Transaction by giving (via facsimile or other means)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specific terms of a Transaction, which Confirmation may be in any form adequate under applicable law; provided, however, ECT’s failure to do so shall not invalidate any Transaction previously entered into in accordance with the procedures of Section 1.2.  Once a Confirmation is given, if it is not executed by Counterparty (with any objections to the accuracy of the contents noted thereon) and returned to ECT or is not otherwise objected to by written notice to ECT (via facsimile or other means) within three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specific terms and conditions of the Transaction agreed to by the Parties not otherwise covered by this Terms, including, but not limited to, (i) the identity of Buyer and Seller, (ii) the Contract Quantity, (iii) the Purchase Price for the Allowances, (iv) the Vintage Year(s) of Allowances, (v) if the Transaction contains an Option, Option Quantity, Exercise Date(s) and any other relevant terms agreed to by the Parties, and (vi) such other terms as the Parties shall agree, including without limitation, delivery and payment procedures.  Each Confirmation shall supplement and form a part of, and be subject to, this Terms and shall be read and construed together with this Terms. Except as may otherwise be provided in this Terms, but in no event with respect to Section 5, in the event of any irreconcilable express conflict between the provisions of this Terms and the terms of a Transaction as set forth in a Confirmation, the terms of such Confirmation will control for the relevant Transaction.</w:t>
      </w:r>
    </w:p>
    <w:p>
      <w:pPr>
        <w:pStyle w:val="Heading1"/>
        <w:spacing w:before="0" w:after="120"/>
        <w:ind w:hanging="0" w:start="0"/>
        <w:rPr>
          <w:sz w:val="18"/>
        </w:rPr>
      </w:pPr>
      <w:r>
        <w:rPr>
          <w:sz w:val="18"/>
        </w:rPr>
        <w:t>SECTION 2.  REPRESENTATIONS AND WARRANTIES</w:t>
      </w:r>
    </w:p>
    <w:p>
      <w:pPr>
        <w:pStyle w:val="Justified"/>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Allowances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Allowances of the agreed upon Vintage Year(s) and Buyer shall pay Seller the Purchase Price for such Allowances. Seller warrants that at the time of each delivery of Allowances by Seller hereunder, it will be conveying title to the Allowances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the Agreement and all Transactions.</w:t>
      </w:r>
    </w:p>
    <w:p>
      <w:pPr>
        <w:pStyle w:val="Heading2"/>
        <w:ind w:hanging="0" w:start="0"/>
        <w:rPr/>
      </w:pPr>
      <w:r>
        <w:rPr>
          <w:sz w:val="18"/>
        </w:rPr>
        <w:t>3.2</w:t>
        <w:tab/>
      </w:r>
      <w:r>
        <w:rPr>
          <w:b/>
          <w:sz w:val="18"/>
          <w:u w:val="single"/>
        </w:rPr>
        <w:t>Transfer</w:t>
      </w:r>
      <w:r>
        <w:rPr>
          <w:sz w:val="18"/>
        </w:rPr>
        <w:t>.  Seller agrees to Transfer the Allowances in accordance with the delivery terms agreed to by the Parties.  Unless otherwise agreed to by the Parties, Seller shall submit a NOx Allowance Transfer Request, executed by Seller, to the EPA transferring the Contract Quantity from Seller's account in the NOx Allowance System to Buyer's account within four (4) Business Days of the date of ECT's Confirmation to Counterparty, provided Buyer has provided to Seller any information or documentation required to effectuate Delivery in accordance with the procedures of the EPA's Allowance Tracking System, and provided further, that Counterparty shall not have objected to the Confirmation.  Seller and Buyer shall cooperate fully and assist each other in complying with any and all regulatory obligations relating to recording and tracking of the Transfer and/or use of the Allowances.</w:t>
      </w:r>
    </w:p>
    <w:p>
      <w:pPr>
        <w:pStyle w:val="Heading2"/>
        <w:ind w:hanging="0" w:start="0"/>
        <w:rPr>
          <w:caps/>
          <w:sz w:val="18"/>
        </w:rPr>
      </w:pPr>
      <w:r>
        <w:rPr>
          <w:sz w:val="18"/>
        </w:rPr>
        <w:t>3.3</w:t>
        <w:tab/>
      </w:r>
      <w:r>
        <w:rPr>
          <w:b/>
          <w:sz w:val="18"/>
          <w:u w:val="single"/>
        </w:rPr>
        <w:t>Payment</w:t>
      </w:r>
      <w:r>
        <w:rPr>
          <w:sz w:val="18"/>
        </w:rPr>
        <w:t>.  Buyer shall pay Seller the Purchase Price for the Allowances.  Unless otherwise specified in the Confirmation or agreed to by the Parties, Buyer shall pay the Purchase Price for the Allowances within three (3) Business Days of Delivery of the Allowances.  All funds to be paid to Seller shall be rendered in the form of immediately available funds (U.S. Dollars) by wire transfer or in such other form as agreed to by the Parties.  Payment shall be made to the payment address provided by the Seller.</w:t>
      </w:r>
    </w:p>
    <w:p>
      <w:pPr>
        <w:pStyle w:val="Heading2"/>
        <w:ind w:hanging="0" w:start="0"/>
        <w:rPr/>
      </w:pPr>
      <w:r>
        <w:rPr>
          <w:sz w:val="18"/>
        </w:rPr>
        <w:t>3.4</w:t>
        <w:tab/>
      </w:r>
      <w:r>
        <w:rPr>
          <w:b/>
          <w:sz w:val="18"/>
          <w:u w:val="single"/>
        </w:rPr>
        <w:t>Taxes</w:t>
      </w:r>
      <w:r>
        <w:rPr>
          <w:sz w:val="18"/>
        </w:rPr>
        <w:t>.  Each Party shall be responsible for any taxes or other fees associated with its respective Delivery and receipt of Allowances.</w:t>
      </w:r>
    </w:p>
    <w:p>
      <w:pPr>
        <w:pStyle w:val="Heading1"/>
        <w:spacing w:before="0" w:after="120"/>
        <w:ind w:hanging="0" w:start="0"/>
        <w:rPr>
          <w:sz w:val="18"/>
        </w:rPr>
      </w:pPr>
      <w:r>
        <w:rPr>
          <w:sz w:val="18"/>
        </w:rPr>
        <w:t>SECTION 4.  DEFAULTS AND REMEDIES</w:t>
      </w:r>
    </w:p>
    <w:p>
      <w:pPr>
        <w:pStyle w:val="Heading2"/>
        <w:ind w:hanging="0" w:start="0"/>
        <w:rPr>
          <w:b/>
          <w:sz w:val="18"/>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the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the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6"/>
        <w:ind w:start="0" w:end="0"/>
        <w:rPr/>
      </w:pPr>
      <w:r>
        <w:rPr>
          <w:sz w:val="18"/>
        </w:rPr>
        <w:t>4.2</w:t>
        <w:tab/>
      </w:r>
      <w:r>
        <w:rPr>
          <w:b/>
          <w:sz w:val="18"/>
          <w:u w:val="single"/>
        </w:rPr>
        <w:t>Remedies</w:t>
      </w:r>
      <w:r>
        <w:rPr>
          <w:sz w:val="18"/>
        </w:rPr>
        <w:t>.</w:t>
      </w:r>
    </w:p>
    <w:p>
      <w:pPr>
        <w:pStyle w:val="Heading6"/>
        <w:ind w:firstLine="720" w:start="0" w:end="0"/>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is not required to be) based upon the average of prices quoted by three dealers, brokers or industry participants, reasonably selected by Option Holder.</w:t>
      </w:r>
    </w:p>
    <w:p>
      <w:pPr>
        <w:pStyle w:val="Heading6"/>
        <w:tabs>
          <w:tab w:val="left" w:pos="0" w:leader="none"/>
          <w:tab w:val="left" w:pos="720" w:leader="none"/>
        </w:tabs>
        <w:rPr>
          <w:sz w:val="18"/>
        </w:rPr>
      </w:pPr>
      <w:r>
        <w:rPr>
          <w:sz w:val="18"/>
        </w:rPr>
        <w:t>(2)</w:t>
        <w:tab/>
        <w:t xml:space="preserve">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Heading6"/>
        <w:tabs>
          <w:tab w:val="left" w:pos="0" w:leader="none"/>
          <w:tab w:val="left" w:pos="720" w:leader="none"/>
        </w:tabs>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THE AGREEMENT, SUCH EXPRESS REMEDY OR MEASURE OF DAMAGES SHALL BE THE SOLE AND EXCLUSIVE REMEDY, THE LIABLE PARTY’S LIABILITY SHALL BE LIMITED AS SET FORTH IN SUCH PROVISION AND ALL OTHER REMEDIES OR DAMAGES AT LAW OR IN EQUITY ARE WAIVED, UNLESS OTHERWISE EXPRESSLY PROVIDED IN THE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 AGREEMENT AND ALL TRANSACTIONS.</w:t>
      </w:r>
    </w:p>
    <w:p>
      <w:pPr>
        <w:pStyle w:val="Heading1"/>
        <w:spacing w:before="0" w:after="120"/>
        <w:ind w:hanging="0" w:start="0"/>
        <w:rPr>
          <w:sz w:val="18"/>
        </w:rPr>
      </w:pPr>
      <w:r>
        <w:rPr>
          <w:sz w:val="18"/>
        </w:rPr>
        <w:t>SECTION 6.  MISCELLANEOUS</w:t>
      </w:r>
    </w:p>
    <w:p>
      <w:pPr>
        <w:pStyle w:val="Normal"/>
        <w:spacing w:before="0" w:after="120"/>
        <w:rPr/>
      </w:pPr>
      <w:r>
        <w:rPr>
          <w:sz w:val="18"/>
        </w:rPr>
        <w:t>6.1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rPr/>
      </w:pPr>
      <w:r>
        <w:rPr>
          <w:sz w:val="18"/>
        </w:rPr>
        <w:t xml:space="preserve"> </w:t>
      </w:r>
      <w:r>
        <w:rPr>
          <w:sz w:val="18"/>
        </w:rPr>
        <w:t xml:space="preserve">6.2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rPr/>
      </w:pPr>
      <w:r>
        <w:rPr>
          <w:sz w:val="18"/>
        </w:rPr>
        <w:t>6.3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w:t>
      </w:r>
      <w:r>
        <w:rPr>
          <w:sz w:val="18"/>
          <w:u w:val="single"/>
        </w:rPr>
        <w:t>Sections 4 and 5</w:t>
      </w:r>
      <w:r>
        <w:rPr>
          <w:sz w:val="18"/>
        </w:rPr>
        <w:t xml:space="preserve"> (to the extent not expressly herein waived or denied) which such Party has or may be entitled to arising from or out of the Agreement or any Transaction.  All outstanding Transactions and the obligations to make payment in connection therewith may be offset against each other, setoff or recouped therefrom. </w:t>
      </w:r>
    </w:p>
    <w:p>
      <w:pPr>
        <w:pStyle w:val="Heading2"/>
        <w:ind w:hanging="0" w:start="0"/>
        <w:rPr>
          <w:b/>
          <w:sz w:val="18"/>
        </w:rPr>
      </w:pPr>
      <w:r>
        <w:rPr>
          <w:sz w:val="18"/>
        </w:rPr>
        <w:t>6.4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rPr/>
      </w:pPr>
      <w:r>
        <w:rPr>
          <w:sz w:val="18"/>
        </w:rPr>
        <w:t>6.5</w:t>
        <w:tab/>
      </w:r>
      <w:r>
        <w:rPr>
          <w:b/>
          <w:sz w:val="18"/>
          <w:u w:val="single"/>
        </w:rPr>
        <w:t>Notices</w:t>
      </w:r>
      <w:r>
        <w:rPr>
          <w:sz w:val="18"/>
        </w:rPr>
        <w:t xml:space="preserve">.  All notices, requests and statements shall be made in writing and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rPr/>
      </w:pPr>
      <w:r>
        <w:rPr>
          <w:sz w:val="18"/>
        </w:rPr>
        <w:t>6.6</w:t>
        <w:tab/>
      </w:r>
      <w:r>
        <w:rPr>
          <w:b/>
          <w:sz w:val="18"/>
          <w:u w:val="single"/>
        </w:rPr>
        <w:t>Governing Law</w:t>
      </w:r>
      <w:r>
        <w:rPr>
          <w:sz w:val="18"/>
        </w:rPr>
        <w:t>.  THE AGREEMENT AND EACH TRANSACTION AND THE RIGHTS AND DUTIES OF THE PARTIES ARISING OUT OF THE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rPr>
          <w:sz w:val="18"/>
        </w:rPr>
      </w:pPr>
      <w:r>
        <w:rPr>
          <w:sz w:val="18"/>
        </w:rPr>
        <w:t>6.7</w:t>
        <w:tab/>
      </w:r>
      <w:r>
        <w:rPr>
          <w:b/>
          <w:sz w:val="18"/>
          <w:u w:val="single"/>
        </w:rPr>
        <w:t>Submission to Jurisdiction.</w:t>
      </w:r>
    </w:p>
    <w:p>
      <w:pPr>
        <w:pStyle w:val="BodyTextIndent2"/>
        <w:rPr/>
      </w:pPr>
      <w:r>
        <w:rPr/>
        <w:t>(a)</w:t>
        <w:tab/>
        <w:t>With respect to applications for any judicial relief to enforce the obligations under the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rPr/>
      </w:pPr>
      <w:r>
        <w:rPr/>
        <w:t>(i)</w:t>
        <w:tab/>
        <w:t>consents to the non-exclusive personal jurisdiction of the courts located in the Borough of Manhattan, New York, USA;</w:t>
      </w:r>
    </w:p>
    <w:p>
      <w:pPr>
        <w:pStyle w:val="BodyTextIndent"/>
        <w:ind w:hanging="0" w:start="1440" w:end="0"/>
        <w:rPr/>
      </w:pPr>
      <w:r>
        <w:rPr/>
        <w:t>(ii)</w:t>
        <w:tab/>
        <w:t>agrees that venue properly lies in the above-designated jurisdiction; and</w:t>
      </w:r>
    </w:p>
    <w:p>
      <w:pPr>
        <w:pStyle w:val="BodyTextIndent"/>
        <w:ind w:hanging="0" w:start="1440" w:end="0"/>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rPr/>
      </w:pPr>
      <w:r>
        <w:rPr/>
        <w:t>(b)</w:t>
        <w:tab/>
        <w:t>The Parties agree that a final judgment by any court in the above-designated jurisdiction covered by the Agreement shall be conclusive and may be enforced in other jurisdictions in any manner provided by law.</w:t>
      </w:r>
    </w:p>
    <w:p>
      <w:pPr>
        <w:pStyle w:val="BodyTextIndent"/>
        <w:ind w:firstLine="720" w:start="0" w:end="0"/>
        <w:rPr/>
      </w:pPr>
      <w:r>
        <w:rPr/>
        <w:t>(c)</w:t>
        <w:tab/>
        <w:t>The Parties hereby waive any claim that a judgment obtained in the above-designated jurisdiction is invalid or unenforceable.</w:t>
      </w:r>
    </w:p>
    <w:p>
      <w:pPr>
        <w:pStyle w:val="BodyTextIndent"/>
        <w:ind w:firstLine="720" w:start="0" w:end="0"/>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the Agreement (to the fullest extent it may be permitted to do so under any applicable law).</w:t>
      </w:r>
    </w:p>
    <w:p>
      <w:pPr>
        <w:pStyle w:val="Normal"/>
        <w:spacing w:before="0" w:after="120"/>
        <w:rPr/>
      </w:pPr>
      <w:r>
        <w:rPr>
          <w:sz w:val="18"/>
        </w:rPr>
        <w:t>6.8</w:t>
        <w:tab/>
      </w:r>
      <w:r>
        <w:rPr>
          <w:b/>
          <w:sz w:val="18"/>
          <w:u w:val="single"/>
        </w:rPr>
        <w:t>Arbitration</w:t>
      </w:r>
      <w:r>
        <w:rPr>
          <w:sz w:val="18"/>
        </w:rPr>
        <w:t>.  Any claim, counterclaim, demand, cause of action, dispute, and controversy arising out of or relating to any Transaction or the Agreement or the relationship established by the Agreement, any provision 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five (5) years professional experience in the allowance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sz w:val="18"/>
        </w:rPr>
        <w:t>6.9</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rPr>
          <w:sz w:val="18"/>
        </w:rPr>
      </w:pPr>
      <w:r>
        <w:rPr>
          <w:sz w:val="18"/>
        </w:rPr>
        <w:t>6.10</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Expanded"/>
        <w:spacing w:before="0" w:after="0"/>
        <w:rPr>
          <w:caps w:val="false"/>
          <w:smallCaps w:val="false"/>
          <w:spacing w:val="0"/>
          <w:sz w:val="18"/>
        </w:rPr>
      </w:pPr>
      <w:r>
        <w:rPr>
          <w:caps w:val="false"/>
          <w:smallCaps w:val="false"/>
          <w:spacing w:val="0"/>
          <w:sz w:val="18"/>
        </w:rPr>
        <w:t>SECTION 7.  DEFINITIONS</w:t>
      </w:r>
    </w:p>
    <w:p>
      <w:pPr>
        <w:pStyle w:val="Normal"/>
        <w:rPr>
          <w:caps/>
          <w:spacing w:val="0"/>
          <w:sz w:val="18"/>
        </w:rPr>
      </w:pPr>
      <w:r>
        <w:rPr>
          <w:caps/>
          <w:spacing w:val="0"/>
          <w:sz w:val="18"/>
        </w:rPr>
      </w:r>
    </w:p>
    <w:p>
      <w:pPr>
        <w:pStyle w:val="Justified"/>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rPr/>
      </w:pPr>
      <w:r>
        <w:rPr>
          <w:b/>
          <w:sz w:val="18"/>
        </w:rPr>
        <w:t>"</w:t>
      </w:r>
      <w:r>
        <w:rPr>
          <w:b/>
          <w:i/>
          <w:sz w:val="18"/>
          <w:u w:val="single"/>
        </w:rPr>
        <w:t>Administrator</w:t>
      </w:r>
      <w:r>
        <w:rPr>
          <w:b/>
          <w:sz w:val="18"/>
        </w:rPr>
        <w:t>"</w:t>
      </w:r>
      <w:r>
        <w:rPr>
          <w:sz w:val="18"/>
        </w:rPr>
        <w:t xml:space="preserve"> means the EPA administrator of the NOx Allowance Tracking System.</w:t>
      </w:r>
    </w:p>
    <w:p>
      <w:pPr>
        <w:pStyle w:val="Justified"/>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sz w:val="18"/>
        </w:rPr>
        <w:t>"</w:t>
      </w:r>
      <w:r>
        <w:rPr>
          <w:b/>
          <w:i/>
          <w:sz w:val="18"/>
          <w:u w:val="single"/>
        </w:rPr>
        <w:t>Allowance</w:t>
      </w:r>
      <w:r>
        <w:rPr>
          <w:b/>
          <w:i/>
          <w:sz w:val="18"/>
        </w:rPr>
        <w:t>"</w:t>
      </w:r>
      <w:r>
        <w:rPr>
          <w:sz w:val="18"/>
        </w:rPr>
        <w:t xml:space="preserve"> means the authorization from any state that is a signatory to or subject to the Ozone Transport Commission Memorandum of Understanding dated September 27, 1994 to emit one ton of nitrogen oxide ("NOx") (May through September) in the vintaged year of issue, or in subsequent control periods (subject to restrictions on banked allowances).  </w:t>
      </w:r>
    </w:p>
    <w:p>
      <w:pPr>
        <w:pStyle w:val="Justified"/>
        <w:rPr/>
      </w:pPr>
      <w:r>
        <w:rPr>
          <w:b/>
          <w:i/>
          <w:sz w:val="18"/>
        </w:rPr>
        <w:t>"</w:t>
      </w:r>
      <w:r>
        <w:rPr>
          <w:b/>
          <w:i/>
          <w:sz w:val="18"/>
          <w:u w:val="single"/>
        </w:rPr>
        <w:t>Allowance Tracking System</w:t>
      </w:r>
      <w:r>
        <w:rPr>
          <w:b/>
          <w:i/>
          <w:sz w:val="18"/>
        </w:rPr>
        <w:t>"</w:t>
      </w:r>
      <w:r>
        <w:rPr>
          <w:sz w:val="18"/>
        </w:rPr>
        <w:t xml:space="preserve"> means the system established by the EPA, including its regulations and procedures, for recording Transfers of Allowances among various entities, persons and accounts.</w:t>
      </w:r>
    </w:p>
    <w:p>
      <w:pPr>
        <w:pStyle w:val="Justified"/>
        <w:rPr>
          <w:b/>
          <w:sz w:val="18"/>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Justified"/>
        <w:rPr/>
      </w:pPr>
      <w:r>
        <w:rPr>
          <w:b/>
          <w:i/>
          <w:sz w:val="18"/>
        </w:rPr>
        <w:t>"</w:t>
      </w:r>
      <w:r>
        <w:rPr>
          <w:b/>
          <w:i/>
          <w:sz w:val="18"/>
          <w:u w:val="single"/>
        </w:rPr>
        <w:t>Buyer</w:t>
      </w:r>
      <w:r>
        <w:rPr>
          <w:b/>
          <w:i/>
          <w:sz w:val="18"/>
        </w:rPr>
        <w:t>"</w:t>
      </w:r>
      <w:r>
        <w:rPr>
          <w:sz w:val="18"/>
        </w:rPr>
        <w:t xml:space="preserve"> means the Party to a Transaction who (i) is obligated to purchase and receive Allowances, or with respect to an exchange of Allowances, to receive Allowances, or (ii) with respect to an Option, is obligated to purchase and receive (e.g. Call Option) or sell and deliver (e.g. Put Option) (as the case may be) Allowances if the Option is properly exercised.</w:t>
      </w:r>
    </w:p>
    <w:p>
      <w:pPr>
        <w:pStyle w:val="Justified"/>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Allowances from the seller of the Call Option pursuant to the terms of a Transaction.</w:t>
      </w:r>
    </w:p>
    <w:p>
      <w:pPr>
        <w:pStyle w:val="Justified"/>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rPr/>
      </w:pPr>
      <w:r>
        <w:rPr>
          <w:b/>
          <w:i/>
          <w:sz w:val="18"/>
        </w:rPr>
        <w:t>"</w:t>
      </w:r>
      <w:r>
        <w:rPr>
          <w:b/>
          <w:i/>
          <w:sz w:val="18"/>
          <w:u w:val="single"/>
        </w:rPr>
        <w:t>Confidential Information</w:t>
      </w:r>
      <w:r>
        <w:rPr>
          <w:b/>
          <w:i/>
          <w:sz w:val="18"/>
        </w:rPr>
        <w:t>"</w:t>
      </w:r>
      <w:r>
        <w:rPr>
          <w:sz w:val="18"/>
        </w:rPr>
        <w:t xml:space="preserve"> means all written information exchanged between ECT and Counterparty with respect to the pricing of the sale of Allowances (or Options, if applicable) under the Agreement.  The following exceptions, however, do not constitute Confidential Information for purposes of the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rPr/>
      </w:pPr>
      <w:r>
        <w:rPr>
          <w:b/>
          <w:i/>
          <w:sz w:val="18"/>
        </w:rPr>
        <w:t>"</w:t>
      </w:r>
      <w:r>
        <w:rPr>
          <w:b/>
          <w:i/>
          <w:sz w:val="18"/>
          <w:u w:val="single"/>
        </w:rPr>
        <w:t>Contract Quantity</w:t>
      </w:r>
      <w:r>
        <w:rPr>
          <w:b/>
          <w:i/>
          <w:sz w:val="18"/>
        </w:rPr>
        <w:t>"</w:t>
      </w:r>
      <w:r>
        <w:rPr>
          <w:sz w:val="18"/>
        </w:rPr>
        <w:t xml:space="preserve"> means that number of Allowances that Seller agrees to sell to (or if applicable, exchange with) Buyer, and that Buyer agrees to purchase from (or if applicable, exchange with) Seller, pursuant to a Transaction.</w:t>
      </w:r>
    </w:p>
    <w:p>
      <w:pPr>
        <w:pStyle w:val="Heading2"/>
        <w:ind w:hanging="0" w:start="0"/>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rPr/>
      </w:pPr>
      <w:r>
        <w:rPr>
          <w:b/>
          <w:i/>
          <w:sz w:val="18"/>
        </w:rPr>
        <w:t>"</w:t>
      </w:r>
      <w:r>
        <w:rPr>
          <w:b/>
          <w:i/>
          <w:sz w:val="18"/>
          <w:u w:val="single"/>
        </w:rPr>
        <w:t>Deliver</w:t>
      </w:r>
      <w:r>
        <w:rPr>
          <w:b/>
          <w:i/>
          <w:sz w:val="18"/>
        </w:rPr>
        <w:t>"</w:t>
      </w:r>
      <w:r>
        <w:rPr>
          <w:sz w:val="18"/>
        </w:rPr>
        <w:t xml:space="preserve"> or </w:t>
      </w:r>
      <w:r>
        <w:rPr>
          <w:b/>
          <w:i/>
          <w:sz w:val="18"/>
        </w:rPr>
        <w:t>"</w:t>
      </w:r>
      <w:r>
        <w:rPr>
          <w:b/>
          <w:i/>
          <w:sz w:val="18"/>
          <w:u w:val="single"/>
        </w:rPr>
        <w:t>Delivery</w:t>
      </w:r>
      <w:r>
        <w:rPr>
          <w:b/>
          <w:i/>
          <w:sz w:val="18"/>
        </w:rPr>
        <w:t>"</w:t>
      </w:r>
      <w:r>
        <w:rPr>
          <w:sz w:val="18"/>
        </w:rPr>
        <w:t xml:space="preserve"> means when the Administrator posts the recordation of the Transfer of NOx Allowances in the NOx Allowance Tracking System's electronic database accessible on the Internet.</w:t>
      </w:r>
    </w:p>
    <w:p>
      <w:pPr>
        <w:pStyle w:val="Heading2"/>
        <w:ind w:hanging="0" w:start="0"/>
        <w:rPr/>
      </w:pPr>
      <w:r>
        <w:rPr/>
        <w:t>"</w:t>
      </w:r>
      <w:r>
        <w:rPr>
          <w:b/>
          <w:i/>
          <w:sz w:val="18"/>
          <w:u w:val="single"/>
        </w:rPr>
        <w:t>Department</w:t>
      </w:r>
      <w:r>
        <w:rPr>
          <w:i/>
          <w:sz w:val="18"/>
        </w:rPr>
        <w:t>"</w:t>
      </w:r>
      <w:r>
        <w:rPr>
          <w:sz w:val="18"/>
        </w:rPr>
        <w:t xml:space="preserve"> means a state agency that issues Allowances.</w:t>
      </w:r>
    </w:p>
    <w:p>
      <w:pPr>
        <w:pStyle w:val="Justified"/>
        <w:rPr/>
      </w:pPr>
      <w:r>
        <w:rPr>
          <w:b/>
          <w:i/>
          <w:sz w:val="18"/>
        </w:rPr>
        <w:t>"</w:t>
      </w:r>
      <w:r>
        <w:rPr>
          <w:b/>
          <w:i/>
          <w:sz w:val="18"/>
          <w:u w:val="single"/>
        </w:rPr>
        <w:t>EPA</w:t>
      </w:r>
      <w:r>
        <w:rPr>
          <w:b/>
          <w:i/>
          <w:sz w:val="18"/>
        </w:rPr>
        <w:t>"</w:t>
      </w:r>
      <w:r>
        <w:rPr>
          <w:sz w:val="18"/>
        </w:rPr>
        <w:t xml:space="preserve"> means the United States Environmental Protection Agency or any successor agency with similar jurisdiction.</w:t>
      </w:r>
    </w:p>
    <w:p>
      <w:pPr>
        <w:pStyle w:val="Justified"/>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Allowances delivered to Buyer for which Seller has not been paid, if any, plus (ii) the positive difference, if any, between (1) the aggregate Purchase Price for all remaining Allowances to be delivered under the Terminated Transaction minus (2) the aggregate market price for all such remaining Allowances as of the Early Termination Date, to be determined by the Non-Defaulting Party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Allowances equivalent to all remaining Allowances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Allowances (it being acknowledged that Non-Defaulting Party shall not be required to enter into an actual replacement transaction in order to calculate its Losses), and (2) the aggregate Purchase Price Buyer would have had to pay Seller for the same number of Allowances under the Terminated Transaction. Losses do not include a Party’s Costs.</w:t>
      </w:r>
    </w:p>
    <w:p>
      <w:pPr>
        <w:pStyle w:val="Justified"/>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Allowances pursuant to the terms of the Call Option or the Put Option, as the case may be.</w:t>
      </w:r>
    </w:p>
    <w:p>
      <w:pPr>
        <w:pStyle w:val="Justified"/>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Allowances or any other payment to be made by Buyer to Seller in connection with a Transaction.  The Purchase Price may be stated in either a per Allowance purchase price or the total purchase price for all Allowances pursuant to a Transaction.</w:t>
      </w:r>
    </w:p>
    <w:p>
      <w:pPr>
        <w:pStyle w:val="Justified"/>
        <w:rPr/>
      </w:pPr>
      <w:r>
        <w:rPr>
          <w:b/>
          <w:i/>
          <w:sz w:val="18"/>
        </w:rPr>
        <w:t>"</w:t>
      </w:r>
      <w:r>
        <w:rPr>
          <w:b/>
          <w:i/>
          <w:sz w:val="18"/>
          <w:u w:val="single"/>
        </w:rPr>
        <w:t>Put Option</w:t>
      </w:r>
      <w:r>
        <w:rPr>
          <w:b/>
          <w:i/>
          <w:sz w:val="18"/>
        </w:rPr>
        <w:t>"</w:t>
      </w:r>
      <w:r>
        <w:rPr>
          <w:sz w:val="18"/>
        </w:rPr>
        <w:t xml:space="preserve"> means that the buyer of the Option shall have the Option to sell one or more Allowances to the seller of the Put Option pursuant to the terms of a Transaction.</w:t>
      </w:r>
    </w:p>
    <w:p>
      <w:pPr>
        <w:pStyle w:val="Justified"/>
        <w:rPr/>
      </w:pPr>
      <w:r>
        <w:rPr>
          <w:b/>
          <w:i/>
          <w:sz w:val="18"/>
        </w:rPr>
        <w:t>"</w:t>
      </w:r>
      <w:r>
        <w:rPr>
          <w:b/>
          <w:i/>
          <w:sz w:val="18"/>
          <w:u w:val="single"/>
        </w:rPr>
        <w:t>Seller</w:t>
      </w:r>
      <w:r>
        <w:rPr>
          <w:b/>
          <w:i/>
          <w:sz w:val="18"/>
        </w:rPr>
        <w:t>"</w:t>
      </w:r>
      <w:r>
        <w:rPr>
          <w:sz w:val="18"/>
        </w:rPr>
        <w:t xml:space="preserve"> means the Party to a Transaction who (i) is obligated to sell and Transfer Allowances, or with respect to an exchange of Allowances, to Transfer Allowances, or (ii) with respect to an Option, to sell or purchase (as the case may be) Allowances if the Option is properly exercised.</w:t>
      </w:r>
    </w:p>
    <w:p>
      <w:pPr>
        <w:pStyle w:val="Justified"/>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Allowances or relating to Options on Allowances.</w:t>
      </w:r>
    </w:p>
    <w:p>
      <w:pPr>
        <w:pStyle w:val="Justified"/>
        <w:rPr/>
      </w:pPr>
      <w:r>
        <w:rPr>
          <w:b/>
          <w:i/>
          <w:sz w:val="18"/>
        </w:rPr>
        <w:t>"</w:t>
      </w:r>
      <w:r>
        <w:rPr>
          <w:b/>
          <w:i/>
          <w:sz w:val="18"/>
          <w:u w:val="single"/>
        </w:rPr>
        <w:t>Transfer</w:t>
      </w:r>
      <w:r>
        <w:rPr>
          <w:b/>
          <w:i/>
          <w:sz w:val="18"/>
        </w:rPr>
        <w:t xml:space="preserve">" </w:t>
      </w:r>
      <w:r>
        <w:rPr>
          <w:sz w:val="18"/>
        </w:rPr>
        <w:t>means when Seller has completed and submitted to the EPA an Allowance Transfer Request transferring the Contract Quantity of Allowances from Seller's account in the Allowance Tracking System to Buyer's account.</w:t>
      </w:r>
    </w:p>
    <w:p>
      <w:pPr>
        <w:pStyle w:val="Justified"/>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pStyle w:val="Justified"/>
        <w:jc w:val="start"/>
        <w:rPr>
          <w:sz w:val="18"/>
          <w:ins w:id="4" w:author="wende warren" w:date="1999-04-14T16:23:00Z"/>
        </w:rPr>
      </w:pPr>
      <w:r>
        <w:rPr>
          <w:b/>
          <w:i/>
          <w:sz w:val="18"/>
        </w:rPr>
        <w:t>"</w:t>
      </w:r>
      <w:r>
        <w:rPr>
          <w:b/>
          <w:i/>
          <w:sz w:val="18"/>
          <w:u w:val="single"/>
        </w:rPr>
        <w:t>Vintage Year</w:t>
      </w:r>
      <w:r>
        <w:rPr>
          <w:b/>
          <w:i/>
          <w:sz w:val="18"/>
        </w:rPr>
        <w:t>"</w:t>
      </w:r>
      <w:r>
        <w:rPr>
          <w:sz w:val="18"/>
        </w:rPr>
        <w:t xml:space="preserve"> means the first calendar year during which the Allowances may be utilized.</w:t>
      </w:r>
    </w:p>
    <w:p>
      <w:pPr>
        <w:pStyle w:val="Heading2"/>
        <w:spacing w:before="0" w:after="120"/>
        <w:ind w:hanging="0" w:start="0"/>
        <w:jc w:val="start"/>
        <w:rPr>
          <w:sz w:val="18"/>
        </w:rPr>
      </w:pPr>
      <w:r>
        <w:rPr>
          <w:sz w:val="18"/>
        </w:rPr>
      </w:r>
    </w:p>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/mnt/main-storage/datasets/enron-docs/doc/General_T_C_01.doc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1999-07-01T19:29:00Z</dcterms:created>
  <dc:creator>Karen A. Cordova</dc:creator>
  <dc:description>last update 4/23/97</dc:description>
  <dc:language>en-CA</dc:language>
  <cp:lastModifiedBy>jhelton</cp:lastModifiedBy>
  <cp:lastPrinted>1999-07-28T17:33:00Z</cp:lastPrinted>
  <dcterms:modified xsi:type="dcterms:W3CDTF">1999-07-28T20:05:00Z</dcterms:modified>
  <cp:revision>10</cp:revision>
  <dc:subject>FORM</dc:subject>
  <dc:title>Master SO2 All Purchase &amp; Sale Agr      </dc:title>
</cp:coreProperties>
</file>