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u w:val="single"/>
        </w:rPr>
      </w:pPr>
      <w:r>
        <w:rPr>
          <w:b/>
          <w:sz w:val="24"/>
          <w:u w:val="single"/>
        </w:rPr>
        <w:t>General Covenant for Prepaid and Embedded Financing Transactions.</w:t>
      </w:r>
    </w:p>
    <w:p>
      <w:pPr>
        <w:pStyle w:val="Normal"/>
        <w:jc w:val="both"/>
        <w:rPr>
          <w:b/>
          <w:sz w:val="24"/>
          <w:u w:val="single"/>
        </w:rPr>
      </w:pPr>
      <w:r>
        <w:rPr>
          <w:b/>
          <w:sz w:val="24"/>
          <w:u w:val="single"/>
        </w:rPr>
      </w:r>
    </w:p>
    <w:p>
      <w:pPr>
        <w:pStyle w:val="Normal"/>
        <w:jc w:val="both"/>
        <w:rPr>
          <w:sz w:val="24"/>
        </w:rPr>
      </w:pPr>
      <w:r>
        <w:rPr>
          <w:sz w:val="24"/>
        </w:rPr>
      </w:r>
    </w:p>
    <w:p>
      <w:pPr>
        <w:pStyle w:val="Normal"/>
        <w:jc w:val="both"/>
        <w:rPr/>
      </w:pPr>
      <w:r>
        <w:rPr>
          <w:sz w:val="24"/>
        </w:rPr>
        <w:t xml:space="preserve">For Payment Transactions deemed to be “pre-payment” or “embedded financing” Payment Transactions, regardless of whether Counterparty is deemed by [Enron entity] to be an Investment Grade Counterparty or a Non-Investment Grade Counterparty (both as herein defined), Counterparty agrees that it will not, during the pendency of any Payment Transaction, (i) enter into a transaction that results in a Change of Control (as herein defined), (ii) pledge, hypothecate, encumber or otherwise allow a lien or other security interest to be placed upon any material assets of Counterparty (except as may be previously encumbered in accordance with an existing Financial Commitment) unless [Enron entity’s], rights are senior to or </w:t>
      </w:r>
      <w:r>
        <w:rPr>
          <w:i/>
          <w:sz w:val="24"/>
        </w:rPr>
        <w:t>pari passu</w:t>
      </w:r>
      <w:r>
        <w:rPr>
          <w:sz w:val="24"/>
        </w:rPr>
        <w:t xml:space="preserve"> with the rights of the creditor receiving the pledge, hypothecation, encumbrance or other form of lien or security interest, or (iii) consummate an Asset Sale (as herein defined) other than for fair market value or where less than seventy-five percent (75%) of the fair market value is paid in cash or in liquid securities, without first obtaining the express written consent of  [Enron entity].  If Counterparty is a Non-Investment Grade Counterparty (as herein defined), in addition to the covenant contained in the preceding sentence, Counterparty agrees that it will not, during the pendency of any Payment Transaction, </w:t>
      </w:r>
      <w:r>
        <w:rPr>
          <w:color w:val="000000"/>
          <w:sz w:val="24"/>
        </w:rPr>
        <w:t xml:space="preserve">incur any indebtedness or make any dividends or other distributions to its equity holders unless, either (1) after giving pro forma effect to the incurrence of such indebtedness or the giving of such dividend, the Counterparty’s Interest Coverage Ratio (as herein defined) exceeds 2.5 to 1.0 or (2) such indebtedness is Permitted Indebtedness (as herein defined).  </w:t>
      </w:r>
      <w:r>
        <w:rPr>
          <w:sz w:val="24"/>
        </w:rPr>
        <w:t>For purposes of this Annex and the Agreement, the terms “</w:t>
      </w:r>
      <w:r>
        <w:rPr>
          <w:sz w:val="24"/>
          <w:u w:val="single"/>
        </w:rPr>
        <w:t>Asset Sale,</w:t>
      </w:r>
      <w:r>
        <w:rPr>
          <w:sz w:val="24"/>
        </w:rPr>
        <w:t>” “</w:t>
      </w:r>
      <w:r>
        <w:rPr>
          <w:sz w:val="24"/>
          <w:u w:val="single"/>
        </w:rPr>
        <w:t>Change of Control,</w:t>
      </w:r>
      <w:r>
        <w:rPr>
          <w:sz w:val="24"/>
        </w:rPr>
        <w:t>” “</w:t>
      </w:r>
      <w:r>
        <w:rPr>
          <w:sz w:val="24"/>
          <w:u w:val="single"/>
        </w:rPr>
        <w:t>Investment Grade Counterparty,”</w:t>
      </w:r>
      <w:r>
        <w:rPr>
          <w:sz w:val="24"/>
        </w:rPr>
        <w:t xml:space="preserve"> “</w:t>
      </w:r>
      <w:r>
        <w:rPr>
          <w:sz w:val="24"/>
          <w:u w:val="single"/>
        </w:rPr>
        <w:t>Non-Investment Grade Counterparty</w:t>
      </w:r>
      <w:r>
        <w:rPr>
          <w:sz w:val="24"/>
        </w:rPr>
        <w:t>,” “</w:t>
      </w:r>
      <w:r>
        <w:rPr>
          <w:sz w:val="24"/>
          <w:u w:val="single"/>
        </w:rPr>
        <w:t>Interest Coverage Ratio</w:t>
      </w:r>
      <w:r>
        <w:rPr>
          <w:sz w:val="24"/>
        </w:rPr>
        <w:t>,” and “</w:t>
      </w:r>
      <w:r>
        <w:rPr>
          <w:sz w:val="24"/>
          <w:u w:val="single"/>
        </w:rPr>
        <w:t>Permitted Indebtedness</w:t>
      </w:r>
      <w:r>
        <w:rPr>
          <w:sz w:val="24"/>
        </w:rPr>
        <w:t>” are defined on Attachment “A” to this Annex.</w:t>
      </w:r>
    </w:p>
    <w:p>
      <w:pPr>
        <w:pStyle w:val="Normal"/>
        <w:jc w:val="both"/>
        <w:rPr>
          <w:sz w:val="24"/>
        </w:rPr>
      </w:pPr>
      <w:r>
        <w:rPr>
          <w:sz w:val="24"/>
        </w:rPr>
      </w:r>
      <w:r>
        <w:br w:type="page"/>
      </w:r>
    </w:p>
    <w:p>
      <w:pPr>
        <w:pStyle w:val="Normal"/>
        <w:jc w:val="center"/>
        <w:rPr>
          <w:b/>
          <w:sz w:val="24"/>
        </w:rPr>
      </w:pPr>
      <w:r>
        <w:rPr>
          <w:b/>
          <w:sz w:val="24"/>
        </w:rPr>
        <w:t>Attachment “A”</w:t>
      </w:r>
    </w:p>
    <w:p>
      <w:pPr>
        <w:pStyle w:val="Normal"/>
        <w:jc w:val="both"/>
        <w:rPr>
          <w:b/>
          <w:sz w:val="24"/>
        </w:rPr>
      </w:pPr>
      <w:r>
        <w:rPr>
          <w:b/>
          <w:sz w:val="24"/>
        </w:rPr>
      </w:r>
    </w:p>
    <w:p>
      <w:pPr>
        <w:pStyle w:val="Normal"/>
        <w:jc w:val="both"/>
        <w:rPr/>
      </w:pPr>
      <w:r>
        <w:rPr>
          <w:sz w:val="24"/>
        </w:rPr>
        <w:t>“</w:t>
      </w:r>
      <w:r>
        <w:rPr>
          <w:sz w:val="24"/>
          <w:u w:val="single"/>
        </w:rPr>
        <w:t>Asset Sale</w:t>
      </w:r>
      <w:r>
        <w:rPr>
          <w:sz w:val="24"/>
        </w:rPr>
        <w:t xml:space="preserve">” shall mean any transfer, conveyance, sale, lease or other disposition not otherwise restricted under any Financial Commitment Counterparty may have to any Creditor involving the transfer of shares of the capital stock or other property of Counterparty, whether in one transaction or a series of transactions; </w:t>
      </w:r>
      <w:r>
        <w:rPr>
          <w:sz w:val="24"/>
          <w:u w:val="single"/>
        </w:rPr>
        <w:t>provided</w:t>
      </w:r>
      <w:r>
        <w:rPr>
          <w:sz w:val="24"/>
        </w:rPr>
        <w:t xml:space="preserve">, </w:t>
      </w:r>
      <w:r>
        <w:rPr>
          <w:sz w:val="24"/>
          <w:u w:val="single"/>
        </w:rPr>
        <w:t>however</w:t>
      </w:r>
      <w:r>
        <w:rPr>
          <w:sz w:val="24"/>
        </w:rPr>
        <w:t xml:space="preserve">, the term “Asset Sale” shall not include a disposition of all or substantially all the Counterparty’s assets in one transaction, except as may be otherwise restricted under any Financial Commitment Counterparty may have to any Creditor. </w:t>
      </w:r>
    </w:p>
    <w:p>
      <w:pPr>
        <w:pStyle w:val="Normal"/>
        <w:jc w:val="both"/>
        <w:rPr>
          <w:sz w:val="24"/>
        </w:rPr>
      </w:pPr>
      <w:r>
        <w:rPr>
          <w:sz w:val="24"/>
        </w:rPr>
      </w:r>
    </w:p>
    <w:p>
      <w:pPr>
        <w:pStyle w:val="Normal"/>
        <w:jc w:val="both"/>
        <w:rPr/>
      </w:pPr>
      <w:r>
        <w:rPr>
          <w:sz w:val="24"/>
        </w:rPr>
        <w:t>“</w:t>
      </w:r>
      <w:r>
        <w:rPr>
          <w:sz w:val="24"/>
          <w:u w:val="single"/>
        </w:rPr>
        <w:t>Change of Control</w:t>
      </w:r>
      <w:r>
        <w:rPr>
          <w:sz w:val="24"/>
        </w:rPr>
        <w:t>” shall mean (i) the sale, lease, conveyance or transfer of all or substantially all of the assets of Counterparty (other than to a wholly owned subsidiary of Counterparty), (ii) the consolidation with or merger into another legal entity pursuant to a transaction in which all or substantially all of the voting shares of stock then outstanding are reclassified into or exchanged for cash, securities or other property, other than any such transaction in which the holders of the voting shares of stock immediately prior to the transaction, own (directly or indirectly) not less than a majority of the voting shares of stock in the surviving legal entity immediately after such transaction in substantially the same proportion as before the occurrence of the transaction, or (iii) the stockholders of Counterparty shall have approved any plan of liquidation or dissolution of Counterparty.</w:t>
      </w:r>
    </w:p>
    <w:p>
      <w:pPr>
        <w:pStyle w:val="Normal"/>
        <w:jc w:val="both"/>
        <w:rPr>
          <w:sz w:val="24"/>
        </w:rPr>
      </w:pPr>
      <w:r>
        <w:rPr>
          <w:sz w:val="24"/>
        </w:rPr>
      </w:r>
    </w:p>
    <w:p>
      <w:pPr>
        <w:pStyle w:val="Normal"/>
        <w:autoSpaceDE w:val="false"/>
        <w:jc w:val="both"/>
        <w:rPr/>
      </w:pPr>
      <w:r>
        <w:rPr>
          <w:sz w:val="24"/>
          <w:u w:val="single"/>
        </w:rPr>
        <w:t>“</w:t>
      </w:r>
      <w:r>
        <w:rPr>
          <w:sz w:val="24"/>
          <w:u w:val="single"/>
        </w:rPr>
        <w:t>Interest Coverage Ratio”</w:t>
      </w:r>
      <w:r>
        <w:rPr>
          <w:sz w:val="24"/>
        </w:rPr>
        <w:t xml:space="preserve"> shall mean the ratio of (i) Counterparty's net income plus interest expense, taxes, depreciation and amortization ("EBITDA") during the most recent four quarter period for which financial statements have been provided to [Enron entity] during any Payment Transaction to (ii) the Counterparty's aggregate interest expense for the same period.  The calculation of the Interest Coverage Ratio shall include all financial statement items that would be classified as EBITDA and interest expense for the relevant period according to generally accepted accounting principles (“</w:t>
      </w:r>
      <w:r>
        <w:rPr>
          <w:sz w:val="24"/>
          <w:u w:val="single"/>
        </w:rPr>
        <w:t>GAAP</w:t>
      </w:r>
      <w:r>
        <w:rPr>
          <w:sz w:val="24"/>
        </w:rPr>
        <w:t>”).</w:t>
      </w:r>
    </w:p>
    <w:p>
      <w:pPr>
        <w:pStyle w:val="Normal"/>
        <w:rPr>
          <w:sz w:val="24"/>
        </w:rPr>
      </w:pPr>
      <w:r>
        <w:rPr>
          <w:sz w:val="24"/>
        </w:rPr>
      </w:r>
    </w:p>
    <w:p>
      <w:pPr>
        <w:pStyle w:val="Normal"/>
        <w:jc w:val="both"/>
        <w:rPr/>
      </w:pPr>
      <w:r>
        <w:rPr>
          <w:sz w:val="24"/>
          <w:u w:val="single"/>
        </w:rPr>
        <w:t>“</w:t>
      </w:r>
      <w:r>
        <w:rPr>
          <w:sz w:val="24"/>
          <w:u w:val="single"/>
        </w:rPr>
        <w:t>Investment Grade Counterparty”</w:t>
      </w:r>
      <w:r>
        <w:rPr>
          <w:sz w:val="24"/>
        </w:rPr>
        <w:t xml:space="preserve"> shall mean a Counterparty which maintains a rating at the time Counterparty makes its offer to [Enron entity] to enter into a Payment Transaction* of Baa3 (or higher) according to Moody’s Investors Service, Inc., and BBB- (or higher) according to Standard &amp; Poor’s Rating Group (collectively, a “Superior Rating”).  If a Counterparty has no ratings from Moody’s and S&amp;P, “Investment Grade Counterparty” shall mean a Counterparty who has submitted financial information to [Enron entity] for it to be determined by [Enron entity], in its sole discretion, to be entitled to a Superior Rating.</w:t>
      </w:r>
    </w:p>
    <w:p>
      <w:pPr>
        <w:pStyle w:val="Normal"/>
        <w:jc w:val="both"/>
        <w:rPr>
          <w:sz w:val="24"/>
        </w:rPr>
      </w:pPr>
      <w:r>
        <w:rPr>
          <w:sz w:val="24"/>
        </w:rPr>
      </w:r>
    </w:p>
    <w:p>
      <w:pPr>
        <w:pStyle w:val="Normal"/>
        <w:jc w:val="both"/>
        <w:rPr/>
      </w:pPr>
      <w:r>
        <w:rPr>
          <w:sz w:val="24"/>
          <w:u w:val="single"/>
        </w:rPr>
        <w:t>“</w:t>
      </w:r>
      <w:r>
        <w:rPr>
          <w:sz w:val="24"/>
          <w:u w:val="single"/>
        </w:rPr>
        <w:t>Non-Investment Grade Counterparty”</w:t>
      </w:r>
      <w:r>
        <w:rPr>
          <w:sz w:val="24"/>
        </w:rPr>
        <w:t xml:space="preserve"> shall mean a Counterparty, whether a public or private entity, whose investment rating is not equal to a Superior Rating at the time Counterparty makes its offer to [Enron entity] to enter into a Payment Transaction.*</w:t>
      </w:r>
    </w:p>
    <w:p>
      <w:pPr>
        <w:pStyle w:val="Normal"/>
        <w:jc w:val="both"/>
        <w:rPr>
          <w:sz w:val="24"/>
        </w:rPr>
      </w:pPr>
      <w:r>
        <w:rPr>
          <w:sz w:val="24"/>
        </w:rPr>
      </w:r>
    </w:p>
    <w:p>
      <w:pPr>
        <w:pStyle w:val="Normal"/>
        <w:jc w:val="both"/>
        <w:rPr/>
      </w:pPr>
      <w:r>
        <w:rPr>
          <w:sz w:val="24"/>
          <w:u w:val="single"/>
        </w:rPr>
        <w:t>“</w:t>
      </w:r>
      <w:r>
        <w:rPr>
          <w:sz w:val="24"/>
          <w:u w:val="single"/>
        </w:rPr>
        <w:t>Permitted Indebtedness”</w:t>
      </w:r>
      <w:r>
        <w:rPr>
          <w:sz w:val="24"/>
        </w:rPr>
        <w:t xml:space="preserve"> shall mean indebtedness incurred by Counterparty in the normal course of its business during the pendency of any Payment Transaction and for which Counterparty would not otherwise be in violation or breach, as a result of incurring such indebtedness, of any obligations, restrictions, covenants (positive or negative) or other agreements with any lender, creditor or other third party having a financial interest in Counterparty or to which Counterparty maintains a financial relationship.</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p>
      <w:pPr>
        <w:pStyle w:val="Normal"/>
        <w:jc w:val="both"/>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2000-11-20T21:47:00Z</dcterms:created>
  <dc:creator>dgorte</dc:creator>
  <dc:description/>
  <dc:language>en-CA</dc:language>
  <cp:lastModifiedBy>dgorte</cp:lastModifiedBy>
  <dcterms:modified xsi:type="dcterms:W3CDTF">2000-11-20T21:47:00Z</dcterms:modified>
  <cp:revision>2</cp:revision>
  <dc:subject/>
  <dc:title>General Covenant for Prepaid and Embedded Financing Transactions</dc:title>
</cp:coreProperties>
</file>