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GENERAL TERMS</w:t>
        <w:br/>
      </w:r>
    </w:p>
    <w:p>
      <w:pPr>
        <w:pStyle w:val="Normal"/>
        <w:numPr>
          <w:ilvl w:val="0"/>
          <w:numId w:val="2"/>
        </w:numPr>
        <w:rPr>
          <w:b/>
          <w:u w:val="single"/>
        </w:rPr>
      </w:pPr>
      <w:r>
        <w:rPr>
          <w:b/>
          <w:u w:val="single"/>
        </w:rPr>
        <w:t>Marketing and Risk Management:</w:t>
      </w:r>
    </w:p>
    <w:p>
      <w:pPr>
        <w:pStyle w:val="Normal"/>
        <w:rPr>
          <w:b/>
          <w:u w:val="single"/>
        </w:rPr>
      </w:pPr>
      <w:r>
        <w:rPr>
          <w:b/>
          <w:u w:val="single"/>
        </w:rPr>
      </w:r>
    </w:p>
    <w:p>
      <w:pPr>
        <w:pStyle w:val="Normal"/>
        <w:rPr/>
      </w:pPr>
      <w:r>
        <w:rPr/>
        <w:t>The marketing, operations, development and risk management capability for the NewCo should be managed within the new entity.  This would be subject to a risk management policy agreed to by ENA, Orion and the newly formed board that can only be changed in the future given a unanimous approval of the board.</w:t>
      </w:r>
    </w:p>
    <w:p>
      <w:pPr>
        <w:pStyle w:val="Normal"/>
        <w:rPr/>
      </w:pPr>
      <w:r>
        <w:rPr/>
      </w:r>
    </w:p>
    <w:p>
      <w:pPr>
        <w:pStyle w:val="Normal"/>
        <w:rPr/>
      </w:pPr>
      <w:r>
        <w:rPr/>
        <w:t>Our suggestion would be that (people subject to successful interview by Orion and ENA):</w:t>
      </w:r>
    </w:p>
    <w:p>
      <w:pPr>
        <w:pStyle w:val="Normal"/>
        <w:numPr>
          <w:ilvl w:val="0"/>
          <w:numId w:val="1"/>
        </w:numPr>
        <w:rPr/>
      </w:pPr>
      <w:r>
        <w:rPr/>
        <w:t>ENA provides risk management and trading capability (including systems as per the Administrative Services proposal) to the NewCo in the form of people and systems;</w:t>
      </w:r>
    </w:p>
    <w:p>
      <w:pPr>
        <w:pStyle w:val="Normal"/>
        <w:numPr>
          <w:ilvl w:val="0"/>
          <w:numId w:val="1"/>
        </w:numPr>
        <w:rPr/>
      </w:pPr>
      <w:r>
        <w:rPr/>
        <w:t>Orion provides operational services to the NewCo in the form of people and capabilities;</w:t>
      </w:r>
    </w:p>
    <w:p>
      <w:pPr>
        <w:pStyle w:val="Normal"/>
        <w:numPr>
          <w:ilvl w:val="0"/>
          <w:numId w:val="1"/>
        </w:numPr>
        <w:rPr/>
      </w:pPr>
      <w:r>
        <w:rPr/>
        <w:t>ENA and Orion jointly provide people and capabilities to the NewCo for development (people, sites and turbines), origination and marketing.</w:t>
      </w:r>
    </w:p>
    <w:p>
      <w:pPr>
        <w:pStyle w:val="Normal"/>
        <w:rPr/>
      </w:pPr>
      <w:r>
        <w:rPr/>
      </w:r>
    </w:p>
    <w:p>
      <w:pPr>
        <w:pStyle w:val="Normal"/>
        <w:rPr/>
      </w:pPr>
      <w:r>
        <w:rPr/>
        <w:t>These people would become employees of the NewCo.</w:t>
      </w:r>
    </w:p>
    <w:p>
      <w:pPr>
        <w:pStyle w:val="Normal"/>
        <w:rPr/>
      </w:pPr>
      <w:r>
        <w:rPr/>
      </w:r>
    </w:p>
    <w:p>
      <w:pPr>
        <w:pStyle w:val="Normal"/>
        <w:rPr/>
      </w:pPr>
      <w:r>
        <w:rPr/>
        <w:t>There would be no exclusivity or non-compete clauses between the NewCo and the parent companies.</w:t>
      </w:r>
    </w:p>
    <w:p>
      <w:pPr>
        <w:pStyle w:val="Normal"/>
        <w:rPr/>
      </w:pPr>
      <w:r>
        <w:rPr/>
      </w:r>
    </w:p>
    <w:p>
      <w:pPr>
        <w:pStyle w:val="Normal"/>
        <w:rPr/>
      </w:pPr>
      <w:r>
        <w:rPr/>
        <w:t>For the five year term, the NewCo would transact on EnronOnline for a minimum of fifty (50%) of its short-term physical and financial volume for fuel (coal and gas) and electricity with a term of two years or less.  Any term arrangements over two years and the during the term of the PPA’s, or any extention thereof, on the 1999 &amp; 2000 Peakers would be excluded from the percentage calculation. This would also exclude any product and service that was not offered through EnronOnline applicable to the NewCo.</w:t>
      </w:r>
    </w:p>
    <w:p>
      <w:pPr>
        <w:pStyle w:val="Normal"/>
        <w:rPr/>
      </w:pPr>
      <w:r>
        <w:rPr/>
      </w:r>
    </w:p>
    <w:p>
      <w:pPr>
        <w:pStyle w:val="Normal"/>
        <w:numPr>
          <w:ilvl w:val="0"/>
          <w:numId w:val="2"/>
        </w:numPr>
        <w:rPr>
          <w:b/>
          <w:u w:val="single"/>
        </w:rPr>
      </w:pPr>
      <w:r>
        <w:rPr>
          <w:b/>
          <w:u w:val="single"/>
        </w:rPr>
        <w:t>Risk Management Systems and Back Office Services (Administrative Services):</w:t>
      </w:r>
    </w:p>
    <w:p>
      <w:pPr>
        <w:pStyle w:val="Normal"/>
        <w:rPr>
          <w:b/>
          <w:u w:val="single"/>
        </w:rPr>
      </w:pPr>
      <w:r>
        <w:rPr>
          <w:b/>
          <w:u w:val="single"/>
        </w:rPr>
      </w:r>
    </w:p>
    <w:p>
      <w:pPr>
        <w:pStyle w:val="Normal"/>
        <w:rPr/>
      </w:pPr>
      <w:r>
        <w:rPr/>
        <w:t>ENA would provide the NewCo risk management and back office services (“Administrative Services”) under a contractual arrangement for fee for a term of five years from the closing of the merger/IPO.  If not terminated by either party with ninety days notice prior to the end of the initial term, it shall remain in effect for an additional twelve months on an evergreen basis.  Every year after the initial term, either party would have the right to cancel the agreement by providing written notice to the other party no less than 90 days prior to the end of that term.  ENA would provide all the services described herein with respect to all quantities of electric energy, electric capacity, ancillary services and fuel procurement generated, dispatched or scheduled for purchase and sale related to NewCo’s assets and any related contracts.  ENA will provide the necessary resources and systems to execute the following services:</w:t>
      </w:r>
    </w:p>
    <w:p>
      <w:pPr>
        <w:pStyle w:val="Normal"/>
        <w:numPr>
          <w:ilvl w:val="0"/>
          <w:numId w:val="3"/>
        </w:numPr>
        <w:rPr/>
      </w:pPr>
      <w:r>
        <w:rPr>
          <w:b/>
          <w:u w:val="single"/>
        </w:rPr>
        <w:t>Risk Management System and Controls</w:t>
      </w:r>
      <w:r>
        <w:rPr/>
        <w:t>: Provides daily positional reporting including daily profit and loss, deal and curve, entry, VAR reporting and limits monitoring;</w:t>
      </w:r>
    </w:p>
    <w:p>
      <w:pPr>
        <w:pStyle w:val="Normal"/>
        <w:numPr>
          <w:ilvl w:val="0"/>
          <w:numId w:val="3"/>
        </w:numPr>
        <w:rPr/>
      </w:pPr>
      <w:r>
        <w:rPr>
          <w:b/>
          <w:u w:val="single"/>
        </w:rPr>
        <w:t>Deal Clearing</w:t>
      </w:r>
      <w:r>
        <w:rPr/>
        <w:t>: Prepares customer confirmations, contracts, broker, check-outs, interface with credit/legal and deal integrity;</w:t>
      </w:r>
    </w:p>
    <w:p>
      <w:pPr>
        <w:pStyle w:val="Normal"/>
        <w:numPr>
          <w:ilvl w:val="0"/>
          <w:numId w:val="3"/>
        </w:numPr>
        <w:rPr/>
      </w:pPr>
      <w:r>
        <w:rPr>
          <w:b/>
          <w:u w:val="single"/>
        </w:rPr>
        <w:t>Settlements</w:t>
      </w:r>
      <w:r>
        <w:rPr/>
        <w:t>:  Provides reconciliation of invoices and payments to general ledger, cash management and cash settlements with counterparties;</w:t>
      </w:r>
    </w:p>
    <w:p>
      <w:pPr>
        <w:pStyle w:val="Normal"/>
        <w:numPr>
          <w:ilvl w:val="0"/>
          <w:numId w:val="3"/>
        </w:numPr>
        <w:rPr/>
      </w:pPr>
      <w:r>
        <w:rPr>
          <w:b/>
          <w:u w:val="single"/>
        </w:rPr>
        <w:t>Scheduling and Nominations</w:t>
      </w:r>
      <w:r>
        <w:rPr/>
        <w:t>:  24 Hour OASIS transmission scheduling, tagging, schedule verification and monitoring; fuel nominations and balancing.</w:t>
      </w:r>
    </w:p>
    <w:p>
      <w:pPr>
        <w:pStyle w:val="Normal"/>
        <w:rPr>
          <w:b/>
          <w:u w:val="single"/>
        </w:rPr>
      </w:pPr>
      <w:r>
        <w:rPr>
          <w:b/>
          <w:u w:val="single"/>
        </w:rPr>
      </w:r>
    </w:p>
    <w:p>
      <w:pPr>
        <w:pStyle w:val="Normal"/>
        <w:numPr>
          <w:ilvl w:val="0"/>
          <w:numId w:val="2"/>
        </w:numPr>
        <w:rPr>
          <w:b/>
          <w:u w:val="single"/>
        </w:rPr>
      </w:pPr>
      <w:r>
        <w:rPr>
          <w:b/>
          <w:u w:val="single"/>
        </w:rPr>
        <w:t>Development:</w:t>
      </w:r>
    </w:p>
    <w:p>
      <w:pPr>
        <w:pStyle w:val="Normal"/>
        <w:rPr>
          <w:b/>
          <w:u w:val="single"/>
        </w:rPr>
      </w:pPr>
      <w:r>
        <w:rPr>
          <w:b/>
          <w:u w:val="single"/>
        </w:rPr>
      </w:r>
    </w:p>
    <w:p>
      <w:pPr>
        <w:pStyle w:val="Normal"/>
        <w:rPr/>
      </w:pPr>
      <w:r>
        <w:rPr/>
        <w:t xml:space="preserve">ENA and Orion would staff a functional development capability inside NewCo.  ENA and Orion would provide sites, turbines or other capabilities necessary to demonstrate a backlog of projects and a greenfield or brownfield development capability. </w:t>
      </w:r>
    </w:p>
    <w:p>
      <w:pPr>
        <w:pStyle w:val="Normal"/>
        <w:rPr/>
      </w:pPr>
      <w:r>
        <w:rPr/>
      </w:r>
    </w:p>
    <w:p>
      <w:pPr>
        <w:pStyle w:val="Normal"/>
        <w:rPr/>
      </w:pPr>
      <w:r>
        <w:rPr/>
        <w:t>All development activity would occur in NewCo except for Pastoria, Las Vegas Cogen and Moore.  In these cases, after meeting mutually negotiated development hurdles the projects would be sold to NewCo at a negotiated value.  It is the intent that all significant development would be completed including permits, interconnection agreements, zoning and siting, EPC amongst other requirements before transfer to the NewCo.  The NewCo would complete financing, manage construction via the EPC agreements and manage start-up.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2000-05-17T14:10:00Z</dcterms:created>
  <dc:creator>ddelain</dc:creator>
  <dc:description/>
  <dc:language>en-CA</dc:language>
  <cp:lastModifiedBy>ddelain</cp:lastModifiedBy>
  <cp:lastPrinted>2000-05-17T18:34:00Z</cp:lastPrinted>
  <dcterms:modified xsi:type="dcterms:W3CDTF">2000-05-17T21:05:00Z</dcterms:modified>
  <cp:revision>8</cp:revision>
  <dc:subject/>
  <dc:title>1) Marketing and Risk Management:</dc:title>
</cp:coreProperties>
</file>