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numPr>
          <w:ilvl w:val="0"/>
          <w:numId w:val="0"/>
        </w:numPr>
        <w:jc w:val="center"/>
        <w:outlineLvl w:val="0"/>
        <w:rPr>
          <w:rFonts w:ascii="Arial" w:hAnsi="Arial" w:cs="Arial"/>
          <w:b/>
        </w:rPr>
      </w:pPr>
      <w:r>
        <w:rPr>
          <w:rFonts w:cs="Arial" w:ascii="Arial" w:hAnsi="Arial"/>
          <w:b/>
        </w:rPr>
        <w:t>DISCUSSION OUTLINE FOR PROPOSED TRANSACTIONS BETWEEN</w:t>
      </w:r>
    </w:p>
    <w:p>
      <w:pPr>
        <w:pStyle w:val="Normal"/>
        <w:widowControl/>
        <w:jc w:val="center"/>
        <w:rPr>
          <w:rFonts w:ascii="Arial" w:hAnsi="Arial" w:cs="Arial"/>
          <w:b/>
        </w:rPr>
      </w:pPr>
      <w:r>
        <w:rPr>
          <w:rFonts w:cs="Arial" w:ascii="Arial" w:hAnsi="Arial"/>
          <w:b/>
        </w:rPr>
        <w:t>___________ ENERGY, AND</w:t>
      </w:r>
    </w:p>
    <w:p>
      <w:pPr>
        <w:pStyle w:val="Normal"/>
        <w:widowControl/>
        <w:numPr>
          <w:ilvl w:val="0"/>
          <w:numId w:val="0"/>
        </w:numPr>
        <w:jc w:val="center"/>
        <w:outlineLvl w:val="0"/>
        <w:rPr>
          <w:rFonts w:ascii="Arial" w:hAnsi="Arial" w:cs="Arial"/>
          <w:b/>
        </w:rPr>
      </w:pPr>
      <w:r>
        <w:rPr>
          <w:rFonts w:cs="Arial" w:ascii="Arial" w:hAnsi="Arial"/>
          <w:b/>
        </w:rPr>
        <w:t>ENRON POWER MARKETING, INC. (“Enron”)</w:t>
      </w:r>
    </w:p>
    <w:p>
      <w:pPr>
        <w:pStyle w:val="Normal"/>
        <w:widowControl/>
        <w:numPr>
          <w:ilvl w:val="0"/>
          <w:numId w:val="0"/>
        </w:numPr>
        <w:jc w:val="center"/>
        <w:outlineLvl w:val="0"/>
        <w:rPr>
          <w:rFonts w:ascii="Arial" w:hAnsi="Arial" w:cs="Arial"/>
          <w:b/>
        </w:rPr>
      </w:pPr>
      <w:r>
        <w:rPr>
          <w:rFonts w:eastAsia="Arial" w:cs="Arial" w:ascii="Arial" w:hAnsi="Arial"/>
          <w:b/>
        </w:rPr>
        <w:t xml:space="preserve"> </w:t>
      </w:r>
      <w:r>
        <w:rPr>
          <w:rFonts w:cs="Arial" w:ascii="Arial" w:hAnsi="Arial"/>
          <w:b/>
        </w:rPr>
        <w:t>A WHOLLY OWNED SUBSIDIARY OF ENRON NORTH AMERICA CORP.</w:t>
      </w:r>
    </w:p>
    <w:p>
      <w:pPr>
        <w:pStyle w:val="Normal"/>
        <w:widowControl/>
        <w:rPr>
          <w:rFonts w:ascii="Arial" w:hAnsi="Arial" w:cs="Arial"/>
          <w:b/>
        </w:rPr>
      </w:pPr>
      <w:r>
        <w:rPr>
          <w:rFonts w:cs="Arial" w:ascii="Arial" w:hAnsi="Arial"/>
          <w:b/>
        </w:rPr>
      </w:r>
    </w:p>
    <w:p>
      <w:pPr>
        <w:pStyle w:val="Normal"/>
        <w:widowControl/>
        <w:rPr>
          <w:rFonts w:ascii="Arial" w:hAnsi="Arial" w:cs="Arial"/>
        </w:rPr>
      </w:pPr>
      <w:r>
        <w:rPr>
          <w:rFonts w:cs="Arial" w:ascii="Arial" w:hAnsi="Arial"/>
        </w:rPr>
      </w:r>
    </w:p>
    <w:p>
      <w:pPr>
        <w:pStyle w:val="Normal"/>
        <w:widowControl/>
        <w:rPr>
          <w:rFonts w:ascii="Arial" w:hAnsi="Arial" w:cs="Arial"/>
        </w:rPr>
      </w:pPr>
      <w:r>
        <w:rPr>
          <w:rFonts w:cs="Arial" w:ascii="Arial" w:hAnsi="Arial"/>
        </w:rPr>
        <w:t>This Discussion Outline encompasses terms and conditions under which Enron is willing to enter into good faith negotiations for a definitive agreement containing, among other provisions, terms and conditions similar to those included below:</w:t>
      </w:r>
    </w:p>
    <w:p>
      <w:pPr>
        <w:pStyle w:val="Normal"/>
        <w:widowControl/>
        <w:rPr>
          <w:rFonts w:ascii="Arial" w:hAnsi="Arial" w:cs="Arial"/>
          <w:b/>
        </w:rPr>
      </w:pPr>
      <w:r>
        <w:rPr>
          <w:rFonts w:cs="Arial" w:ascii="Arial" w:hAnsi="Arial"/>
          <w:b/>
        </w:rPr>
      </w:r>
    </w:p>
    <w:p>
      <w:pPr>
        <w:pStyle w:val="Normal"/>
        <w:widowControl/>
        <w:numPr>
          <w:ilvl w:val="0"/>
          <w:numId w:val="0"/>
        </w:numPr>
        <w:outlineLvl w:val="0"/>
        <w:rPr>
          <w:rFonts w:ascii="Arial" w:hAnsi="Arial" w:cs="Arial"/>
        </w:rPr>
      </w:pPr>
      <w:r>
        <w:rPr>
          <w:rFonts w:cs="Arial" w:ascii="Arial" w:hAnsi="Arial"/>
          <w:b/>
        </w:rPr>
        <w:t>Background:</w:t>
      </w:r>
    </w:p>
    <w:p>
      <w:pPr>
        <w:pStyle w:val="Normal"/>
        <w:widowControl/>
        <w:rPr>
          <w:rFonts w:ascii="Arial" w:hAnsi="Arial" w:cs="Arial"/>
          <w:b/>
        </w:rPr>
      </w:pPr>
      <w:r>
        <w:rPr>
          <w:rFonts w:cs="Arial" w:ascii="Arial" w:hAnsi="Arial"/>
        </w:rPr>
        <w:t>___________ Energy is currently evaluating the installation of two 83 MW gas fired, barge mounted generation facilities to be located in the Pacific Northwest. Enron provides marketing services to several similar generation facilities.  Enron’s services include marketing of wholesale energy, scheduling, tagging, real time management, transmission procurement and scheduling, financial settlement with energy purchasers and transmission providers, and other necessary activities related to marketing electric power. Enron has outlined potential services transaction details below.</w:t>
      </w:r>
    </w:p>
    <w:p>
      <w:pPr>
        <w:pStyle w:val="Normal"/>
        <w:widowControl/>
        <w:rPr>
          <w:rFonts w:ascii="Arial" w:hAnsi="Arial" w:cs="Arial"/>
          <w:b/>
        </w:rPr>
      </w:pPr>
      <w:r>
        <w:rPr>
          <w:rFonts w:cs="Arial" w:ascii="Arial" w:hAnsi="Arial"/>
          <w:b/>
        </w:rPr>
      </w:r>
    </w:p>
    <w:p>
      <w:pPr>
        <w:pStyle w:val="Heading1"/>
        <w:widowControl/>
        <w:ind w:hanging="0" w:start="0"/>
        <w:rPr/>
      </w:pPr>
      <w:r>
        <w:rPr/>
        <w:t>Transaction Details – Marketing Services</w:t>
      </w:r>
    </w:p>
    <w:p>
      <w:pPr>
        <w:pStyle w:val="Normal"/>
        <w:widowControl/>
        <w:rPr>
          <w:rFonts w:ascii="Arial" w:hAnsi="Arial" w:cs="Arial"/>
        </w:rPr>
      </w:pPr>
      <w:r>
        <w:rPr>
          <w:rFonts w:cs="Arial" w:ascii="Arial" w:hAnsi="Arial"/>
        </w:rPr>
      </w:r>
    </w:p>
    <w:p>
      <w:pPr>
        <w:pStyle w:val="Normal"/>
        <w:widowControl/>
        <w:rPr>
          <w:rFonts w:ascii="Arial" w:hAnsi="Arial" w:cs="Arial"/>
          <w:u w:val="single"/>
        </w:rPr>
      </w:pPr>
      <w:r>
        <w:rPr>
          <w:rFonts w:cs="Arial" w:ascii="Arial" w:hAnsi="Arial"/>
          <w:u w:val="single"/>
        </w:rPr>
        <w:t>Price</w:t>
      </w:r>
      <w:r>
        <w:rPr>
          <w:rFonts w:cs="Arial" w:ascii="Arial" w:hAnsi="Arial"/>
        </w:rPr>
        <w:t>: Enron would pay ___________ Energy (or the individual project) ___% of the total revenue received at market based prices for the excess energy. Enron would reduce its payment to ___________ Energy by the actual transmission costs incurred (losses, imbalance, and any other tariff required transmission costs) to transport ___________ Energy’s energy to the most attractive market (Peak and Off-Peak as appropriate).  Enron will initially pursue the most attractive daily and/or real time markets for such energy. Daily prices as of April 19 are exceeding $250 per Mwh at market hubs near ___________ Energy’s generation facilities. Fixed price markets for various time periods can also be provided once marketing efforts have been initiated and unit availability has been established. Any term, fixed-price sales would be thoroughly discussed and agreed to with ___________ Energy prior to execution of any such sale.</w:t>
      </w:r>
    </w:p>
    <w:p>
      <w:pPr>
        <w:pStyle w:val="Normal"/>
        <w:widowControl/>
        <w:rPr>
          <w:rFonts w:ascii="Arial" w:hAnsi="Arial" w:cs="Arial"/>
          <w:u w:val="single"/>
        </w:rPr>
      </w:pPr>
      <w:r>
        <w:rPr>
          <w:rFonts w:cs="Arial" w:ascii="Arial" w:hAnsi="Arial"/>
          <w:u w:val="single"/>
        </w:rPr>
      </w:r>
    </w:p>
    <w:p>
      <w:pPr>
        <w:pStyle w:val="Normal"/>
        <w:widowControl/>
        <w:numPr>
          <w:ilvl w:val="0"/>
          <w:numId w:val="0"/>
        </w:numPr>
        <w:outlineLvl w:val="0"/>
        <w:rPr/>
      </w:pPr>
      <w:r>
        <w:rPr>
          <w:rFonts w:cs="Arial" w:ascii="Arial" w:hAnsi="Arial"/>
          <w:u w:val="single"/>
        </w:rPr>
        <w:t>Quantity</w:t>
      </w:r>
      <w:r>
        <w:rPr>
          <w:rFonts w:cs="Arial" w:ascii="Arial" w:hAnsi="Arial"/>
        </w:rPr>
        <w:t>: All energy generated by the ___________ Energy units.</w:t>
      </w:r>
    </w:p>
    <w:p>
      <w:pPr>
        <w:pStyle w:val="Normal"/>
        <w:widowControl/>
        <w:numPr>
          <w:ilvl w:val="0"/>
          <w:numId w:val="0"/>
        </w:numPr>
        <w:outlineLvl w:val="0"/>
        <w:rPr>
          <w:rFonts w:ascii="Arial" w:hAnsi="Arial" w:cs="Arial"/>
          <w:b/>
        </w:rPr>
      </w:pPr>
      <w:r>
        <w:rPr>
          <w:rFonts w:cs="Arial" w:ascii="Arial" w:hAnsi="Arial"/>
          <w:b/>
        </w:rPr>
      </w:r>
    </w:p>
    <w:p>
      <w:pPr>
        <w:pStyle w:val="Normal"/>
        <w:widowControl/>
        <w:numPr>
          <w:ilvl w:val="0"/>
          <w:numId w:val="0"/>
        </w:numPr>
        <w:outlineLvl w:val="0"/>
        <w:rPr/>
      </w:pPr>
      <w:r>
        <w:rPr>
          <w:rFonts w:cs="Arial" w:ascii="Arial" w:hAnsi="Arial"/>
          <w:u w:val="single"/>
        </w:rPr>
        <w:t>Term</w:t>
      </w:r>
      <w:r>
        <w:rPr>
          <w:rFonts w:cs="Arial" w:ascii="Arial" w:hAnsi="Arial"/>
        </w:rPr>
        <w:t>: Six months. Contract shall continue month-to-month after the initial term unless cancelled by either party with 30 days prior notice. Any cancellation would become effective once all transactions entered into between the parties have been performed (e.g. any existing fixed-price term transactions have ended).</w:t>
      </w:r>
    </w:p>
    <w:p>
      <w:pPr>
        <w:pStyle w:val="Normal"/>
        <w:widowControl/>
        <w:numPr>
          <w:ilvl w:val="0"/>
          <w:numId w:val="0"/>
        </w:numPr>
        <w:outlineLvl w:val="0"/>
        <w:rPr>
          <w:rFonts w:ascii="Arial" w:hAnsi="Arial" w:cs="Arial"/>
          <w:b/>
        </w:rPr>
      </w:pPr>
      <w:r>
        <w:rPr>
          <w:rFonts w:cs="Arial" w:ascii="Arial" w:hAnsi="Arial"/>
          <w:b/>
        </w:rPr>
      </w:r>
    </w:p>
    <w:p>
      <w:pPr>
        <w:pStyle w:val="Heading4"/>
        <w:ind w:hanging="0" w:start="0"/>
        <w:rPr/>
      </w:pPr>
      <w:r>
        <w:rPr/>
        <w:t>Transaction Details – Schedule Coordinator Services provided to facilitate a fixed priced term sale to any other third party.</w:t>
      </w:r>
    </w:p>
    <w:p>
      <w:pPr>
        <w:pStyle w:val="Normal"/>
        <w:rPr/>
      </w:pPr>
      <w:r>
        <w:rPr/>
      </w:r>
    </w:p>
    <w:p>
      <w:pPr>
        <w:pStyle w:val="Normal"/>
        <w:widowControl/>
        <w:rPr>
          <w:rFonts w:ascii="Arial" w:hAnsi="Arial" w:cs="Arial"/>
          <w:u w:val="single"/>
        </w:rPr>
      </w:pPr>
      <w:r>
        <w:rPr>
          <w:rFonts w:cs="Arial" w:ascii="Arial" w:hAnsi="Arial"/>
          <w:u w:val="single"/>
        </w:rPr>
      </w:r>
    </w:p>
    <w:p>
      <w:pPr>
        <w:pStyle w:val="Normal"/>
        <w:widowControl/>
        <w:rPr/>
      </w:pPr>
      <w:r>
        <w:rPr>
          <w:rFonts w:cs="Arial" w:ascii="Arial" w:hAnsi="Arial"/>
          <w:u w:val="single"/>
        </w:rPr>
        <w:t>Price</w:t>
      </w:r>
      <w:r>
        <w:rPr>
          <w:rFonts w:cs="Arial" w:ascii="Arial" w:hAnsi="Arial"/>
        </w:rPr>
        <w:t>: ___________ Energy would pay Enron $2.80 per MWh to provide Schedule Coordinator Services required to effect physical flow of energy from the ___________ Energy unit’s busbar to the point of delivery of the long-term customer. Initially, and from time-to-time thereafter Enron and ___________ Energy would agree to the actual transmission paths required to effect physical delivery to the customer. Enron and ___________ Energy shall then determine the costs to be incurred (losses, imbalance, import/export fees and any other tariff required transmission costs) to transport the energy to the delivery point. Any such charges directly incurred by Enron through its contracts with various transmission providers shall be passed through to ___________ Energy.</w:t>
      </w:r>
    </w:p>
    <w:p>
      <w:pPr>
        <w:pStyle w:val="Normal"/>
        <w:widowControl/>
        <w:rPr>
          <w:rFonts w:ascii="Arial" w:hAnsi="Arial" w:cs="Arial"/>
        </w:rPr>
      </w:pPr>
      <w:r>
        <w:rPr>
          <w:rFonts w:cs="Arial" w:ascii="Arial" w:hAnsi="Arial"/>
        </w:rPr>
      </w:r>
    </w:p>
    <w:p>
      <w:pPr>
        <w:pStyle w:val="Normal"/>
        <w:widowControl/>
        <w:rPr>
          <w:rFonts w:ascii="Arial" w:hAnsi="Arial" w:cs="Arial"/>
        </w:rPr>
      </w:pPr>
      <w:r>
        <w:rPr>
          <w:rFonts w:cs="Arial" w:ascii="Arial" w:hAnsi="Arial"/>
        </w:rPr>
        <w:t>If 50% or less of ___________’s energy is being sold term and the remaining amount is being marketed by Enron, Enron’s fee would be reduced to $x.xx/ Mwh on term sales.</w:t>
      </w:r>
    </w:p>
    <w:p>
      <w:pPr>
        <w:pStyle w:val="Normal"/>
        <w:widowControl/>
        <w:rPr>
          <w:rFonts w:ascii="Arial" w:hAnsi="Arial" w:cs="Arial"/>
        </w:rPr>
      </w:pPr>
      <w:r>
        <w:rPr>
          <w:rFonts w:cs="Arial" w:ascii="Arial" w:hAnsi="Arial"/>
        </w:rPr>
      </w:r>
    </w:p>
    <w:p>
      <w:pPr>
        <w:pStyle w:val="Normal"/>
        <w:widowControl/>
        <w:rPr/>
      </w:pPr>
      <w:r>
        <w:rPr>
          <w:rFonts w:cs="Arial" w:ascii="Arial" w:hAnsi="Arial"/>
        </w:rPr>
        <w:t xml:space="preserve">To the extent that Enron can manage to reduce transmission costs through alternate delivery arrangements Enron and ___________ Energy would share equally in the economic benefit of such savings. </w:t>
      </w:r>
      <w:r>
        <w:rPr>
          <w:rFonts w:cs="Arial" w:ascii="Arial" w:hAnsi="Arial"/>
          <w:u w:val="single"/>
        </w:rPr>
        <w:t>These arrangements have the potential to provide substantial transmission cost savings throughout the term of the agreement.</w:t>
      </w:r>
    </w:p>
    <w:p>
      <w:pPr>
        <w:pStyle w:val="Normal"/>
        <w:widowControl/>
        <w:rPr>
          <w:rFonts w:ascii="Arial" w:hAnsi="Arial" w:cs="Arial"/>
          <w:u w:val="single"/>
        </w:rPr>
      </w:pPr>
      <w:r>
        <w:rPr>
          <w:rFonts w:cs="Arial" w:ascii="Arial" w:hAnsi="Arial"/>
          <w:u w:val="single"/>
        </w:rPr>
      </w:r>
    </w:p>
    <w:p>
      <w:pPr>
        <w:pStyle w:val="Normal"/>
        <w:widowControl/>
        <w:numPr>
          <w:ilvl w:val="0"/>
          <w:numId w:val="0"/>
        </w:numPr>
        <w:outlineLvl w:val="0"/>
        <w:rPr/>
      </w:pPr>
      <w:r>
        <w:rPr>
          <w:rFonts w:cs="Arial" w:ascii="Arial" w:hAnsi="Arial"/>
          <w:u w:val="single"/>
        </w:rPr>
        <w:t>Term</w:t>
      </w:r>
      <w:r>
        <w:rPr>
          <w:rFonts w:cs="Arial" w:ascii="Arial" w:hAnsi="Arial"/>
        </w:rPr>
        <w:t xml:space="preserve">: Consistent with the term of ___________ Energy long term contract with the buyer. </w:t>
      </w:r>
    </w:p>
    <w:p>
      <w:pPr>
        <w:pStyle w:val="Normal"/>
        <w:widowControl/>
        <w:numPr>
          <w:ilvl w:val="0"/>
          <w:numId w:val="0"/>
        </w:numPr>
        <w:outlineLvl w:val="0"/>
        <w:rPr>
          <w:rFonts w:ascii="Arial" w:hAnsi="Arial" w:cs="Arial"/>
          <w:b/>
        </w:rPr>
      </w:pPr>
      <w:r>
        <w:rPr>
          <w:rFonts w:cs="Arial" w:ascii="Arial" w:hAnsi="Arial"/>
          <w:b/>
        </w:rPr>
      </w:r>
    </w:p>
    <w:p>
      <w:pPr>
        <w:pStyle w:val="Normal"/>
        <w:widowControl/>
        <w:numPr>
          <w:ilvl w:val="0"/>
          <w:numId w:val="0"/>
        </w:numPr>
        <w:outlineLvl w:val="0"/>
        <w:rPr>
          <w:rFonts w:ascii="Arial" w:hAnsi="Arial" w:cs="Arial"/>
          <w:b/>
        </w:rPr>
      </w:pPr>
      <w:r>
        <w:rPr>
          <w:rFonts w:cs="Arial" w:ascii="Arial" w:hAnsi="Arial"/>
          <w:b/>
        </w:rPr>
      </w:r>
    </w:p>
    <w:p>
      <w:pPr>
        <w:pStyle w:val="Normal"/>
        <w:widowControl/>
        <w:numPr>
          <w:ilvl w:val="0"/>
          <w:numId w:val="0"/>
        </w:numPr>
        <w:outlineLvl w:val="0"/>
        <w:rPr>
          <w:rFonts w:ascii="Arial" w:hAnsi="Arial" w:cs="Arial"/>
        </w:rPr>
      </w:pPr>
      <w:r>
        <w:rPr>
          <w:rFonts w:cs="Arial" w:ascii="Arial" w:hAnsi="Arial"/>
        </w:rPr>
      </w:r>
    </w:p>
    <w:p>
      <w:pPr>
        <w:pStyle w:val="Normal"/>
        <w:widowControl/>
        <w:numPr>
          <w:ilvl w:val="0"/>
          <w:numId w:val="0"/>
        </w:numPr>
        <w:outlineLvl w:val="0"/>
        <w:rPr>
          <w:rFonts w:ascii="Arial" w:hAnsi="Arial" w:cs="Arial"/>
          <w:b/>
        </w:rPr>
      </w:pPr>
      <w:r>
        <w:rPr>
          <w:rFonts w:cs="Arial" w:ascii="Arial" w:hAnsi="Arial"/>
          <w:b/>
        </w:rPr>
        <w:t>Sales Summary, Billing, Settlements, and Payments</w:t>
      </w:r>
    </w:p>
    <w:p>
      <w:pPr>
        <w:pStyle w:val="Normal"/>
        <w:widowControl/>
        <w:numPr>
          <w:ilvl w:val="0"/>
          <w:numId w:val="0"/>
        </w:numPr>
        <w:outlineLvl w:val="0"/>
        <w:rPr>
          <w:rFonts w:ascii="Arial" w:hAnsi="Arial" w:cs="Arial"/>
        </w:rPr>
      </w:pPr>
      <w:r>
        <w:rPr>
          <w:rFonts w:cs="Arial" w:ascii="Arial" w:hAnsi="Arial"/>
        </w:rPr>
        <w:t>Each day Enron would generate a sales summary, which would either be faxed or e-mailed to ___________ Energy. Such Summary would detail the total generation levels of the plant, the market prices received for energy, and any other details relevant to the dispatch day.</w:t>
      </w:r>
    </w:p>
    <w:p>
      <w:pPr>
        <w:pStyle w:val="Normal"/>
        <w:widowControl/>
        <w:numPr>
          <w:ilvl w:val="0"/>
          <w:numId w:val="0"/>
        </w:numPr>
        <w:outlineLvl w:val="0"/>
        <w:rPr>
          <w:rFonts w:ascii="Arial" w:hAnsi="Arial" w:cs="Arial"/>
        </w:rPr>
      </w:pPr>
      <w:r>
        <w:rPr>
          <w:rFonts w:cs="Arial" w:ascii="Arial" w:hAnsi="Arial"/>
        </w:rPr>
      </w:r>
    </w:p>
    <w:p>
      <w:pPr>
        <w:pStyle w:val="Normal"/>
        <w:widowControl/>
        <w:numPr>
          <w:ilvl w:val="0"/>
          <w:numId w:val="0"/>
        </w:numPr>
        <w:outlineLvl w:val="0"/>
        <w:rPr>
          <w:rFonts w:ascii="Arial" w:hAnsi="Arial" w:cs="Arial"/>
        </w:rPr>
      </w:pPr>
      <w:r>
        <w:rPr>
          <w:rFonts w:cs="Arial" w:ascii="Arial" w:hAnsi="Arial"/>
        </w:rPr>
        <w:t>Enron would maintain a daily spreadsheet model, which continually collects sales data and maintains a month-to-date summary of estimated revenues, costs, fees, and net payments to ___________ Energy. This updated model can be forwarded to ___________ Energy upon request at any time during the month.</w:t>
      </w:r>
    </w:p>
    <w:p>
      <w:pPr>
        <w:pStyle w:val="Header"/>
        <w:widowControl/>
        <w:numPr>
          <w:ilvl w:val="0"/>
          <w:numId w:val="0"/>
        </w:numPr>
        <w:tabs>
          <w:tab w:val="clear" w:pos="4320"/>
          <w:tab w:val="clear" w:pos="8640"/>
        </w:tabs>
        <w:outlineLvl w:val="0"/>
        <w:rPr>
          <w:rFonts w:ascii="Arial" w:hAnsi="Arial" w:cs="Arial"/>
        </w:rPr>
      </w:pPr>
      <w:r>
        <w:rPr>
          <w:rFonts w:cs="Arial" w:ascii="Arial" w:hAnsi="Arial"/>
        </w:rPr>
      </w:r>
    </w:p>
    <w:p>
      <w:pPr>
        <w:pStyle w:val="Header"/>
        <w:widowControl/>
        <w:numPr>
          <w:ilvl w:val="0"/>
          <w:numId w:val="0"/>
        </w:numPr>
        <w:tabs>
          <w:tab w:val="clear" w:pos="4320"/>
          <w:tab w:val="clear" w:pos="8640"/>
        </w:tabs>
        <w:outlineLvl w:val="0"/>
        <w:rPr>
          <w:rFonts w:ascii="Arial" w:hAnsi="Arial" w:cs="Arial"/>
        </w:rPr>
      </w:pPr>
      <w:r>
        <w:rPr>
          <w:rFonts w:cs="Arial" w:ascii="Arial" w:hAnsi="Arial"/>
        </w:rPr>
      </w:r>
    </w:p>
    <w:p>
      <w:pPr>
        <w:pStyle w:val="Header"/>
        <w:widowControl/>
        <w:numPr>
          <w:ilvl w:val="0"/>
          <w:numId w:val="0"/>
        </w:numPr>
        <w:tabs>
          <w:tab w:val="clear" w:pos="4320"/>
          <w:tab w:val="clear" w:pos="8640"/>
        </w:tabs>
        <w:outlineLvl w:val="0"/>
        <w:rPr/>
      </w:pPr>
      <w:r>
        <w:rPr>
          <w:rFonts w:cs="Arial" w:ascii="Arial" w:hAnsi="Arial"/>
        </w:rPr>
        <w:t>After the month of delivery Enron would bill the energy buyers. Enron would make payments to ___________ Energy after settlement with the energy buyers (which usually occurs the 20</w:t>
      </w:r>
      <w:r>
        <w:rPr>
          <w:rFonts w:cs="Arial" w:ascii="Arial" w:hAnsi="Arial"/>
          <w:vertAlign w:val="superscript"/>
        </w:rPr>
        <w:t>th</w:t>
      </w:r>
      <w:r>
        <w:rPr>
          <w:rFonts w:cs="Arial" w:ascii="Arial" w:hAnsi="Arial"/>
        </w:rPr>
        <w:t xml:space="preserve"> – 25</w:t>
      </w:r>
      <w:r>
        <w:rPr>
          <w:rFonts w:cs="Arial" w:ascii="Arial" w:hAnsi="Arial"/>
          <w:vertAlign w:val="superscript"/>
        </w:rPr>
        <w:t>th</w:t>
      </w:r>
      <w:r>
        <w:rPr>
          <w:rFonts w:cs="Arial" w:ascii="Arial" w:hAnsi="Arial"/>
        </w:rPr>
        <w:t xml:space="preserve"> of the month after delivery). </w:t>
      </w:r>
    </w:p>
    <w:p>
      <w:pPr>
        <w:pStyle w:val="Header"/>
        <w:widowControl/>
        <w:numPr>
          <w:ilvl w:val="0"/>
          <w:numId w:val="0"/>
        </w:numPr>
        <w:tabs>
          <w:tab w:val="clear" w:pos="4320"/>
          <w:tab w:val="clear" w:pos="8640"/>
        </w:tabs>
        <w:outlineLvl w:val="0"/>
        <w:rPr>
          <w:rFonts w:ascii="Arial" w:hAnsi="Arial" w:cs="Arial"/>
        </w:rPr>
      </w:pPr>
      <w:r>
        <w:rPr>
          <w:rFonts w:cs="Arial" w:ascii="Arial" w:hAnsi="Arial"/>
        </w:rPr>
      </w:r>
    </w:p>
    <w:p>
      <w:pPr>
        <w:pStyle w:val="Normal"/>
        <w:widowControl/>
        <w:numPr>
          <w:ilvl w:val="0"/>
          <w:numId w:val="0"/>
        </w:numPr>
        <w:outlineLvl w:val="0"/>
        <w:rPr>
          <w:rFonts w:ascii="Arial" w:hAnsi="Arial" w:cs="Arial"/>
          <w:b/>
        </w:rPr>
      </w:pPr>
      <w:r>
        <w:rPr>
          <w:rFonts w:cs="Arial" w:ascii="Arial" w:hAnsi="Arial"/>
          <w:b/>
        </w:rPr>
        <w:t>Confidentiality</w:t>
      </w:r>
    </w:p>
    <w:p>
      <w:pPr>
        <w:pStyle w:val="Normal"/>
        <w:widowControl/>
        <w:numPr>
          <w:ilvl w:val="0"/>
          <w:numId w:val="0"/>
        </w:numPr>
        <w:outlineLvl w:val="0"/>
        <w:rPr>
          <w:rFonts w:ascii="Arial" w:hAnsi="Arial" w:cs="Arial"/>
          <w:b/>
        </w:rPr>
      </w:pPr>
      <w:r>
        <w:rPr>
          <w:rFonts w:cs="Arial" w:ascii="Arial" w:hAnsi="Arial"/>
          <w:b/>
        </w:rPr>
      </w:r>
    </w:p>
    <w:p>
      <w:pPr>
        <w:pStyle w:val="Normal"/>
        <w:widowControl/>
        <w:numPr>
          <w:ilvl w:val="0"/>
          <w:numId w:val="0"/>
        </w:numPr>
        <w:outlineLvl w:val="0"/>
        <w:rPr>
          <w:rFonts w:ascii="Arial" w:hAnsi="Arial" w:cs="Arial"/>
        </w:rPr>
      </w:pPr>
      <w:r>
        <w:rPr>
          <w:rFonts w:cs="Arial" w:ascii="Arial" w:hAnsi="Arial"/>
        </w:rPr>
        <w:t xml:space="preserve">This Discussion Outline is confidential between Enron and ___________ Energy. </w:t>
      </w:r>
    </w:p>
    <w:p>
      <w:pPr>
        <w:pStyle w:val="Normal"/>
        <w:widowControl/>
        <w:numPr>
          <w:ilvl w:val="0"/>
          <w:numId w:val="0"/>
        </w:numPr>
        <w:outlineLvl w:val="0"/>
        <w:rPr>
          <w:rFonts w:ascii="Arial" w:hAnsi="Arial" w:cs="Arial"/>
        </w:rPr>
      </w:pPr>
      <w:r>
        <w:rPr>
          <w:rFonts w:cs="Arial" w:ascii="Arial" w:hAnsi="Arial"/>
        </w:rPr>
      </w:r>
    </w:p>
    <w:p>
      <w:pPr>
        <w:pStyle w:val="Heading1"/>
        <w:widowControl/>
        <w:ind w:hanging="0" w:start="0"/>
        <w:rPr/>
      </w:pPr>
      <w:r>
        <w:rPr/>
        <w:t>Contract Form</w:t>
      </w:r>
    </w:p>
    <w:p>
      <w:pPr>
        <w:pStyle w:val="Normal"/>
        <w:rPr/>
      </w:pPr>
      <w:r>
        <w:rPr/>
      </w:r>
    </w:p>
    <w:p>
      <w:pPr>
        <w:pStyle w:val="Heading5"/>
        <w:ind w:hanging="0" w:start="0"/>
        <w:rPr>
          <w:rFonts w:ascii="Arial" w:hAnsi="Arial" w:cs="Arial"/>
          <w:sz w:val="20"/>
        </w:rPr>
      </w:pPr>
      <w:r>
        <w:rPr>
          <w:rFonts w:cs="Arial" w:ascii="Arial" w:hAnsi="Arial"/>
          <w:sz w:val="20"/>
        </w:rPr>
        <w:t>Edison Electric Institute master agreement.</w:t>
      </w:r>
    </w:p>
    <w:p>
      <w:pPr>
        <w:pStyle w:val="Normal"/>
        <w:rPr>
          <w:rFonts w:ascii="Arial" w:hAnsi="Arial" w:cs="Arial"/>
          <w:sz w:val="24"/>
        </w:rPr>
      </w:pPr>
      <w:r>
        <w:rPr>
          <w:rFonts w:cs="Arial" w:ascii="Arial" w:hAnsi="Arial"/>
          <w:sz w:val="24"/>
        </w:rPr>
      </w:r>
    </w:p>
    <w:p>
      <w:pPr>
        <w:pStyle w:val="Normal"/>
        <w:widowControl/>
        <w:rPr>
          <w:rFonts w:ascii="Arial" w:hAnsi="Arial" w:cs="Arial"/>
          <w:sz w:val="24"/>
        </w:rPr>
      </w:pPr>
      <w:r>
        <w:rPr>
          <w:rFonts w:cs="Arial" w:ascii="Arial" w:hAnsi="Arial"/>
          <w:sz w:val="24"/>
        </w:rPr>
      </w:r>
    </w:p>
    <w:p>
      <w:pPr>
        <w:pStyle w:val="Normal"/>
        <w:widowControl/>
        <w:rPr>
          <w:rFonts w:ascii="Arial" w:hAnsi="Arial" w:cs="Arial"/>
        </w:rPr>
      </w:pPr>
      <w:r>
        <w:rPr>
          <w:rFonts w:cs="Arial" w:ascii="Arial" w:hAnsi="Arial"/>
        </w:rPr>
      </w:r>
    </w:p>
    <w:p>
      <w:pPr>
        <w:pStyle w:val="Normal"/>
        <w:widowControl/>
        <w:jc w:val="center"/>
        <w:rPr>
          <w:rFonts w:ascii="Arial" w:hAnsi="Arial" w:cs="Arial"/>
          <w:b/>
          <w:i/>
          <w:i/>
          <w:sz w:val="18"/>
        </w:rPr>
      </w:pPr>
      <w:r>
        <w:rPr>
          <w:rFonts w:cs="Arial" w:ascii="Arial" w:hAnsi="Arial"/>
          <w:b/>
          <w:i/>
          <w:sz w:val="18"/>
        </w:rPr>
        <w:t>This Discussion Outline is intended only to facilitate the negotiation, preparation, and execution of definitive documents. It is not intended to create a binding or enforceable contract or to be complete and all inclusive of the terms of the related transaction. This is not an offer or a commitment of Enron or ___________ Energy or any parent or affiliate of either. The transaction described above is not complete, is subject to further review and approval by the boards of directors of the parties and the execution of definitive agreements containing all appropriate provisions, including, but not limited to, those related to credit, limitation of damages, remedies and force majeure. The prices above are subject to change during the time period of evaluation and negotiation of definitive agreements.</w:t>
      </w:r>
    </w:p>
    <w:p>
      <w:pPr>
        <w:pStyle w:val="Normal"/>
        <w:widowControl/>
        <w:rPr>
          <w:rFonts w:ascii="Arial" w:hAnsi="Arial" w:cs="Arial"/>
          <w:b/>
          <w:i/>
          <w:i/>
          <w:sz w:val="18"/>
        </w:rPr>
      </w:pPr>
      <w:r>
        <w:rPr>
          <w:rFonts w:cs="Arial" w:ascii="Arial" w:hAnsi="Arial"/>
          <w:b/>
          <w:i/>
          <w:sz w:val="18"/>
        </w:rPr>
      </w:r>
    </w:p>
    <w:sectPr>
      <w:headerReference w:type="default" r:id="rId2"/>
      <w:footerReference w:type="default" r:id="rId3"/>
      <w:type w:val="nextPage"/>
      <w:pgSz w:w="12240" w:h="15840"/>
      <w:pgMar w:left="1008" w:right="1008" w:gutter="0" w:header="720" w:top="1170" w:footer="720" w:bottom="12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enter" w:pos="5040" w:leader="none"/>
        <w:tab w:val="right" w:pos="8640" w:leader="none"/>
      </w:tabs>
      <w:rPr/>
    </w:pPr>
    <w:r>
      <w:rPr/>
      <w:fldChar w:fldCharType="begin"/>
    </w:r>
    <w:r>
      <w:rPr/>
      <w:instrText xml:space="preserve"> DATE \@"M/d/yyyy" </w:instrText>
    </w:r>
    <w:r>
      <w:rPr/>
      <w:fldChar w:fldCharType="separate"/>
    </w:r>
    <w:r>
      <w:rPr/>
      <w:t>9/28/2025</w:t>
    </w:r>
    <w:r>
      <w:rPr/>
      <w:fldChar w:fldCharType="end"/>
    </w:r>
    <w:r>
      <w:rP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10080" w:leader="none"/>
      </w:tabs>
      <w:rPr/>
    </w:pPr>
    <w:r>
      <w:rPr/>
      <w:tab/>
      <w:tab/>
    </w:r>
    <w:r>
      <w:rPr>
        <w:b/>
        <w:i/>
      </w:rPr>
      <w:t>CONFIDENTIAL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rPr>
  </w:style>
  <w:style w:type="paragraph" w:styleId="Heading2">
    <w:name w:val="heading 2"/>
    <w:basedOn w:val="Normal"/>
    <w:next w:val="Normal"/>
    <w:qFormat/>
    <w:pPr>
      <w:keepNext w:val="true"/>
      <w:widowControl/>
      <w:numPr>
        <w:ilvl w:val="1"/>
        <w:numId w:val="1"/>
      </w:numPr>
      <w:jc w:val="center"/>
      <w:outlineLvl w:val="1"/>
    </w:pPr>
    <w:rPr>
      <w:rFonts w:ascii="Arial" w:hAnsi="Arial" w:cs="Arial"/>
      <w:b/>
    </w:rPr>
  </w:style>
  <w:style w:type="paragraph" w:styleId="Heading3">
    <w:name w:val="heading 3"/>
    <w:basedOn w:val="Normal"/>
    <w:next w:val="Normal"/>
    <w:qFormat/>
    <w:pPr>
      <w:keepNext w:val="true"/>
      <w:widowControl/>
      <w:numPr>
        <w:ilvl w:val="2"/>
        <w:numId w:val="1"/>
      </w:numPr>
      <w:ind w:hanging="0" w:start="-108" w:end="-108"/>
      <w:jc w:val="center"/>
      <w:outlineLvl w:val="2"/>
    </w:pPr>
    <w:rPr>
      <w:rFonts w:ascii="Arial" w:hAnsi="Arial" w:cs="Arial"/>
      <w:b/>
    </w:rPr>
  </w:style>
  <w:style w:type="paragraph" w:styleId="Heading4">
    <w:name w:val="heading 4"/>
    <w:basedOn w:val="Normal"/>
    <w:next w:val="Normal"/>
    <w:qFormat/>
    <w:pPr>
      <w:keepNext w:val="true"/>
      <w:widowControl/>
      <w:numPr>
        <w:ilvl w:val="3"/>
        <w:numId w:val="1"/>
      </w:numPr>
      <w:outlineLvl w:val="3"/>
    </w:pPr>
    <w:rPr>
      <w:rFonts w:ascii="Arial" w:hAnsi="Arial" w:cs="Arial"/>
      <w:b/>
      <w:u w:val="single"/>
    </w:rPr>
  </w:style>
  <w:style w:type="paragraph" w:styleId="Heading5">
    <w:name w:val="heading 5"/>
    <w:basedOn w:val="Normal"/>
    <w:next w:val="Normal"/>
    <w:qFormat/>
    <w:pPr>
      <w:keepNext w:val="true"/>
      <w:numPr>
        <w:ilvl w:val="4"/>
        <w:numId w:val="1"/>
      </w:numPr>
      <w:outlineLvl w:val="4"/>
    </w:pPr>
    <w:rPr>
      <w:sz w:val="24"/>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pPr>
    <w:rPr>
      <w:rFonts w:ascii="Arial" w:hAnsi="Arial" w:cs="Arial"/>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2001-04-27T18:57:00Z</dcterms:created>
  <dc:creator>ect</dc:creator>
  <dc:description/>
  <dc:language>en-CA</dc:language>
  <cp:lastModifiedBy>gwolfe</cp:lastModifiedBy>
  <cp:lastPrinted>2001-04-23T17:59:00Z</cp:lastPrinted>
  <dcterms:modified xsi:type="dcterms:W3CDTF">2001-04-27T18:58:00Z</dcterms:modified>
  <cp:revision>3</cp:revision>
  <dc:subject/>
  <dc:title>SUMMARY OF TERMS FOR PROPOSED TRANSACTION BETWEEN</dc:title>
</cp:coreProperties>
</file>