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120"/>
        <w:ind w:hanging="0" w:start="0"/>
        <w:jc w:val="center"/>
        <w:rPr/>
      </w:pPr>
      <w:r>
        <w:rPr/>
        <w:t>GenPower ADA</w:t>
      </w:r>
    </w:p>
    <w:p>
      <w:pPr>
        <w:pStyle w:val="Heading2"/>
        <w:spacing w:before="0" w:after="120"/>
        <w:ind w:hanging="0" w:start="0"/>
        <w:jc w:val="both"/>
        <w:rPr/>
      </w:pPr>
      <w:r>
        <w:rPr/>
        <w:t xml:space="preserve">amounts to the Lessor pursuant to the first sentence of this </w:t>
      </w:r>
      <w:r>
        <w:rPr>
          <w:u w:val="single"/>
        </w:rPr>
        <w:t>Section 8.3</w:t>
      </w:r>
      <w:r>
        <w:rPr/>
        <w:t xml:space="preserve">) except to the extent that the Lessor (i) is a domestic corporation (as such term is defined in Section 7701 of the Code) for federal income tax purposes, or (ii) has the Prescribed Forms on file with the Lessee for the applicable year to the extent deduction or withholding of such taxes is not required as a result of the filing of any such Prescribed Forms.  The indemnification provided for in this </w:t>
      </w:r>
      <w:r>
        <w:rPr>
          <w:u w:val="single"/>
        </w:rPr>
        <w:t>Section 8.3</w:t>
      </w:r>
      <w:r>
        <w:rPr/>
        <w:t xml:space="preserve"> shall be made within thirty (30) days from the date the Lessor makes demand therefor.  The Lessor shall not be indemnified for Taxes incurred more than ninety (90) days prior to the date that the Lessor notifies the Lessee thereof.  Should the Lessor ever receive any refund, credit or deduction from any Governmental Authority to which the Lessor would not be entitled but for the payment by the Lessee of Taxes as required by this </w:t>
      </w:r>
      <w:r>
        <w:rPr>
          <w:u w:val="single"/>
        </w:rPr>
        <w:t>Section 8.3</w:t>
      </w:r>
      <w:r>
        <w:rPr/>
        <w:t xml:space="preserve">, the Lessor thereupon shall repay to the Lessee an amount with respect to such refund, credit or deduction equal to an amount equal to any net reduction in Taxes actually obtained by the Lessor and determined by the Lessor to be attributable to such refund, credit or deduction. The Lessor shall use its best efforts (consistent with its internal policies and legal and regulatory restrictions) to select a jurisdiction for the office from which it books the Advances or to change such jurisdiction, as the case may be, so as to avoid the imposition of any Taxes or to eliminate the amount of any such additional amounts which may thereafter accrue; provided, that no such selection or change of jurisdiction for such office shall be made if, in the reasonable judgement of the Lessor, such selection or change would be disadvantageous to the Lessor.  The Lessor will deliver to the Lessee on or before the Closing Date, copies of all Prescribed Forms.  Thereafter and from time to time, the Lessor shall submit to the Lessee such additional duly completed and signed copies of the Prescribed Forms (or such successor forms as shall be adopted from time to time by the relevant United States taxing authorities) as may be (i) notified by the Lessee to the Lessor, and (ii) required under then-current United States law or regulations to avoid United States withholding taxes on payments in respect of all amounts to be received by the Lessor pursuant to this Agreement or the other Operative Agreements, including fees. If the Lessor determines, as a result of any change in applicable law, regulation or treaty, or in any official application or interpretation thereof, that it is unable to submit to the Lessee any form or certificate that the Lessor is obligated to submit pursuant to this </w:t>
      </w:r>
      <w:r>
        <w:rPr>
          <w:u w:val="single"/>
        </w:rPr>
        <w:t>Section 8.3</w:t>
      </w:r>
      <w:r>
        <w:rPr/>
        <w:t>, or that the Lessor is required to withdraw or cancel any such form or certificate previously submitted, the Lessor shall promptly notify the Lessee of such fact.  It is expressly understood and agreed that the indemnity provided for herein shall survive the expiration or termination of and shall be separate and independent from any remedy under this Agreement.</w:t>
      </w:r>
    </w:p>
    <w:p>
      <w:pPr>
        <w:pStyle w:val="Heading2"/>
        <w:spacing w:before="0" w:after="120"/>
        <w:ind w:firstLine="720" w:start="0" w:end="0"/>
        <w:jc w:val="both"/>
        <w:rPr/>
      </w:pPr>
      <w:r>
        <w:rPr/>
        <w:t>8.4</w:t>
        <w:tab/>
      </w:r>
      <w:r>
        <w:rPr>
          <w:u w:val="single"/>
        </w:rPr>
        <w:t>Special Tax Indemnity</w:t>
      </w:r>
      <w:r>
        <w:rPr/>
        <w:t>.  The Lessee shall pay and assume all liability for, and does hereby agree to indemnify any Indemnified Person</w:t>
      </w:r>
      <w:r>
        <w:rPr>
          <w:strike/>
        </w:rPr>
        <w:t>, and, in each case, their accountants, lawyers, and other advisors</w:t>
      </w:r>
      <w:r>
        <w:rPr/>
        <w:t xml:space="preserve"> on an After Tax Basis for any tax, addition to tax, penalty, or other cost as a result of the breach, inaccuracy or incorrectness of the representation found in </w:t>
      </w:r>
      <w:r>
        <w:rPr>
          <w:u w:val="single"/>
        </w:rPr>
        <w:t>Section 2.6(v)</w:t>
      </w:r>
      <w:r>
        <w:rPr/>
        <w:t>,</w:t>
      </w:r>
      <w:r>
        <w:rPr>
          <w:b/>
          <w:u w:val="double"/>
        </w:rPr>
        <w:t xml:space="preserve"> including any indemnification obligation that any Indemnified Person may have to their accountants, lawyers and other advisors,</w:t>
      </w:r>
      <w:r>
        <w:rPr/>
        <w:t xml:space="preserve"> except to the extent such breach, inaccuracy or incorrectness arises as a result of reasons outside of the Lessee's control.</w:t>
      </w:r>
    </w:p>
    <w:p>
      <w:pPr>
        <w:pStyle w:val="Normal"/>
        <w:spacing w:before="0" w:after="120"/>
        <w:ind w:firstLine="720" w:end="0"/>
        <w:jc w:val="both"/>
        <w:rPr/>
      </w:pPr>
      <w:r>
        <w:rPr/>
        <w:t>8.5</w:t>
        <w:tab/>
      </w:r>
      <w:r>
        <w:rPr>
          <w:u w:val="single"/>
        </w:rPr>
        <w:t>Funding Losses</w:t>
      </w:r>
      <w:r>
        <w:rPr/>
        <w:t>.  The Lessee agrees to indemnify each Indemnified Person and to hold each Indemnified Person harmless from any loss or expense (excluding such Indemnified Person's loss of anticipated profits) which such Indemnified Person may sustain or incur (other than through such Person's own gross negligence or willful misconduct) as a consequence of (a) default by the Lessee in making a borrowing of or Conversion/Continuation of LIBOR Advances after the Lessee has given a Funding Request or Conversion/Continuation Notice requesting the</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SBodyStand-Just-11stLnIndnt">
    <w:name w:val="WS _Body Stand-Just-1&quot; 1st Ln Indnt"/>
    <w:basedOn w:val="Normal"/>
    <w:qFormat/>
    <w:pPr>
      <w:spacing w:before="0" w:after="240"/>
      <w:ind w:firstLine="1440" w:start="0" w:end="0"/>
      <w:jc w:val="both"/>
    </w:pPr>
    <w:rPr>
      <w:sz w:val="24"/>
    </w:rPr>
  </w:style>
  <w:style w:type="paragraph" w:styleId="WSBodyStand-Just-11stLnIndnt-DS">
    <w:name w:val="WS _Body Stand-Just-1&quot; 1st Ln Indnt-DS"/>
    <w:basedOn w:val="Normal"/>
    <w:qFormat/>
    <w:pPr>
      <w:spacing w:lineRule="auto" w:line="480"/>
      <w:ind w:firstLine="1440" w:start="0" w:end="0"/>
      <w:jc w:val="both"/>
    </w:pPr>
    <w:rPr>
      <w:sz w:val="24"/>
    </w:rPr>
  </w:style>
  <w:style w:type="paragraph" w:styleId="WSBody-Just">
    <w:name w:val="WS Body-Just"/>
    <w:basedOn w:val="Normal"/>
    <w:qFormat/>
    <w:pPr>
      <w:spacing w:before="0" w:after="240"/>
      <w:jc w:val="both"/>
    </w:pPr>
    <w:rPr>
      <w:sz w:val="24"/>
    </w:rPr>
  </w:style>
  <w:style w:type="paragraph" w:styleId="WSBody-Just-51stLnIndnt">
    <w:name w:val="WS Body-Just-.5&quot; 1st Ln Indnt"/>
    <w:basedOn w:val="Normal"/>
    <w:qFormat/>
    <w:pPr>
      <w:spacing w:before="0" w:after="240"/>
      <w:ind w:firstLine="720" w:start="0" w:end="0"/>
      <w:jc w:val="both"/>
    </w:pPr>
    <w:rPr>
      <w:sz w:val="24"/>
    </w:rPr>
  </w:style>
  <w:style w:type="paragraph" w:styleId="WSBody-Just-51stLnIndnt-DS">
    <w:name w:val="WS Body-Just-.5&quot; 1st Ln Indnt-DS"/>
    <w:basedOn w:val="Normal"/>
    <w:qFormat/>
    <w:pPr>
      <w:spacing w:lineRule="auto" w:line="480"/>
      <w:ind w:firstLine="720" w:start="0" w:end="0"/>
      <w:jc w:val="both"/>
    </w:pPr>
    <w:rPr>
      <w:sz w:val="24"/>
    </w:rPr>
  </w:style>
  <w:style w:type="paragraph" w:styleId="WSBody-Just-DS">
    <w:name w:val="WS Body-Just-DS"/>
    <w:basedOn w:val="Normal"/>
    <w:qFormat/>
    <w:pPr>
      <w:spacing w:lineRule="auto" w:line="480"/>
      <w:jc w:val="both"/>
    </w:pPr>
    <w:rPr>
      <w:sz w:val="24"/>
    </w:rPr>
  </w:style>
  <w:style w:type="paragraph" w:styleId="WSBullet-1HngIndnt">
    <w:name w:val="WS Bullet-1&quot; Hng Indnt"/>
    <w:basedOn w:val="Normal"/>
    <w:qFormat/>
    <w:pPr>
      <w:numPr>
        <w:ilvl w:val="0"/>
        <w:numId w:val="2"/>
      </w:numPr>
      <w:tabs>
        <w:tab w:val="clear" w:pos="720"/>
      </w:tabs>
      <w:spacing w:before="0" w:after="240"/>
      <w:ind w:hanging="720" w:start="2160" w:end="0"/>
      <w:jc w:val="both"/>
    </w:pPr>
    <w:rPr>
      <w:sz w:val="24"/>
    </w:rPr>
  </w:style>
  <w:style w:type="paragraph" w:styleId="WSBullet-1HngIndnt-DS">
    <w:name w:val="WS Bullet-1&quot; Hng Indnt-DS"/>
    <w:basedOn w:val="Normal"/>
    <w:qFormat/>
    <w:pPr>
      <w:numPr>
        <w:ilvl w:val="0"/>
        <w:numId w:val="3"/>
      </w:numPr>
      <w:tabs>
        <w:tab w:val="clear" w:pos="720"/>
      </w:tabs>
      <w:spacing w:lineRule="auto" w:line="480" w:before="0" w:after="240"/>
      <w:ind w:hanging="720" w:start="2160" w:end="0"/>
      <w:jc w:val="both"/>
    </w:pPr>
    <w:rPr>
      <w:sz w:val="24"/>
    </w:rPr>
  </w:style>
  <w:style w:type="paragraph" w:styleId="WSCapt-Ctr-Caps-Bold">
    <w:name w:val="WS Capt-Ctr-Caps-Bold"/>
    <w:basedOn w:val="Normal"/>
    <w:next w:val="WSBodyStand-Just-11stLnIndnt"/>
    <w:qFormat/>
    <w:pPr>
      <w:keepNext w:val="true"/>
      <w:spacing w:before="0" w:after="240"/>
      <w:jc w:val="center"/>
    </w:pPr>
    <w:rPr>
      <w:rFonts w:ascii="Times New Roman Bold;Times New Roman" w:hAnsi="Times New Roman Bold;Times New Roman" w:cs="Times New Roman Bold;Times New Roman"/>
      <w:b/>
      <w:caps/>
      <w:sz w:val="24"/>
    </w:rPr>
  </w:style>
  <w:style w:type="paragraph" w:styleId="WSCapt-Lft-5Indnt-Bold">
    <w:name w:val="WS Capt-Lft-.5&quot; Indnt-Bold"/>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sz w:val="24"/>
    </w:rPr>
  </w:style>
  <w:style w:type="paragraph" w:styleId="WSHd-5LftIndnt-Bold-Ital">
    <w:name w:val="WS Hd-.5&quot; Lft Indnt-Bold-Ital"/>
    <w:basedOn w:val="Normal"/>
    <w:next w:val="WSBodyStand-Just-11stLnIndnt"/>
    <w:qFormat/>
    <w:pPr>
      <w:spacing w:before="0" w:after="240"/>
      <w:ind w:hanging="0" w:start="720" w:end="0"/>
    </w:pPr>
    <w:rPr>
      <w:rFonts w:ascii="Times New Roman Bold;Times New Roman" w:hAnsi="Times New Roman Bold;Times New Roman" w:cs="Times New Roman Bold;Times New Roman"/>
      <w:b/>
      <w:i/>
      <w:sz w:val="24"/>
    </w:rPr>
  </w:style>
  <w:style w:type="paragraph" w:styleId="WSHd-Lft-18ptFt-SCaps-Brder">
    <w:name w:val="WS Hd-Lft-18ptFt-SCaps-Brder"/>
    <w:basedOn w:val="Normal"/>
    <w:next w:val="WSBodyStand-Just-11stLnIndnt"/>
    <w:qFormat/>
    <w:pPr>
      <w:pBdr>
        <w:bottom w:val="single" w:sz="4" w:space="1" w:color="000000"/>
      </w:pBdr>
    </w:pPr>
    <w:rPr>
      <w:b/>
      <w:smallCaps/>
      <w:spacing w:val="12"/>
      <w:sz w:val="36"/>
    </w:rPr>
  </w:style>
  <w:style w:type="paragraph" w:styleId="WSHd-Rght-14ptFt-SCaps-Bold">
    <w:name w:val="WS Hd-Rght-14ptFt-SCaps-Bold"/>
    <w:basedOn w:val="Normal"/>
    <w:next w:val="WSBodyStand-Just-11stLnIndnt"/>
    <w:qFormat/>
    <w:pPr>
      <w:spacing w:before="0" w:after="240"/>
      <w:jc w:val="end"/>
    </w:pPr>
    <w:rPr>
      <w:rFonts w:ascii="Times New Roman Bold;Times New Roman" w:hAnsi="Times New Roman Bold;Times New Roman" w:cs="Times New Roman Bold;Times New Roman"/>
      <w:b/>
      <w:smallCaps/>
      <w:sz w:val="28"/>
    </w:rPr>
  </w:style>
  <w:style w:type="paragraph" w:styleId="WSIndent-Just-5Indnt">
    <w:name w:val="WS Indent-Just-.5&quot; Indnt"/>
    <w:basedOn w:val="Normal"/>
    <w:qFormat/>
    <w:pPr>
      <w:spacing w:before="0" w:after="240"/>
      <w:ind w:hanging="0" w:start="720" w:end="0"/>
      <w:jc w:val="both"/>
    </w:pPr>
    <w:rPr>
      <w:sz w:val="24"/>
    </w:rPr>
  </w:style>
  <w:style w:type="paragraph" w:styleId="WSIndent-Just-5Indnt-DS">
    <w:name w:val="WS Indent-Just-.5&quot; Indnt-DS"/>
    <w:basedOn w:val="Normal"/>
    <w:qFormat/>
    <w:pPr>
      <w:spacing w:lineRule="auto" w:line="480"/>
      <w:ind w:hanging="0" w:start="720" w:end="0"/>
      <w:jc w:val="both"/>
    </w:pPr>
    <w:rPr>
      <w:sz w:val="24"/>
    </w:rPr>
  </w:style>
  <w:style w:type="paragraph" w:styleId="WSIndent-Just-5LftIndnt-51stLnIndnt">
    <w:name w:val="WS Indent-Just-.5&quot; Lft Indnt-.5 1st Ln Indnt"/>
    <w:basedOn w:val="Normal"/>
    <w:qFormat/>
    <w:pPr>
      <w:spacing w:before="0" w:after="240"/>
      <w:ind w:firstLine="720" w:start="720" w:end="720"/>
      <w:jc w:val="both"/>
    </w:pPr>
    <w:rPr>
      <w:sz w:val="24"/>
    </w:rPr>
  </w:style>
  <w:style w:type="paragraph" w:styleId="WSIndent-Just-5LftIndnt-51stLnIndnt-DS">
    <w:name w:val="WS Indent-Just-.5&quot; Lft Indnt-.5&quot; 1st Ln Indnt-DS"/>
    <w:basedOn w:val="Normal"/>
    <w:qFormat/>
    <w:pPr>
      <w:spacing w:lineRule="auto" w:line="480"/>
      <w:ind w:firstLine="720" w:start="720" w:end="0"/>
      <w:jc w:val="both"/>
    </w:pPr>
    <w:rPr>
      <w:sz w:val="24"/>
    </w:rPr>
  </w:style>
  <w:style w:type="paragraph" w:styleId="WSIndent-Just-5LftRghtIndnt-51stLnIndnt-DS">
    <w:name w:val="WS Indent-Just-.5&quot; Lft+Rght Indnt-.5 1st Ln Indnt-DS"/>
    <w:basedOn w:val="Normal"/>
    <w:qFormat/>
    <w:pPr>
      <w:spacing w:lineRule="auto" w:line="480"/>
      <w:ind w:firstLine="720" w:start="720" w:end="720"/>
      <w:jc w:val="both"/>
    </w:pPr>
    <w:rPr>
      <w:sz w:val="24"/>
    </w:rPr>
  </w:style>
  <w:style w:type="paragraph" w:styleId="WSQuote-1LftRghtIndnt">
    <w:name w:val="WS Quote-1&quot;Lft+Rght Indnt"/>
    <w:basedOn w:val="Normal"/>
    <w:qFormat/>
    <w:pPr>
      <w:spacing w:before="0" w:after="240"/>
      <w:ind w:hanging="0" w:start="1440" w:end="1440"/>
    </w:pPr>
    <w:rPr>
      <w:sz w:val="24"/>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z w:val="24"/>
    </w:rPr>
  </w:style>
  <w:style w:type="paragraph" w:styleId="WSTitle-Ctr-14ptFt-Caps-Bold">
    <w:name w:val="WS Title-Ctr-14ptFt-Caps-Bold"/>
    <w:basedOn w:val="Normal"/>
    <w:next w:val="WSBodyStand-Just-11stLnIndnt"/>
    <w:qFormat/>
    <w:pPr>
      <w:keepNext w:val="true"/>
      <w:spacing w:before="120" w:after="240"/>
      <w:jc w:val="center"/>
    </w:pPr>
    <w:rPr>
      <w:rFonts w:ascii="Times New Roman Bold;Times New Roman" w:hAnsi="Times New Roman Bold;Times New Roman" w:cs="Times New Roman Bold;Times New Roman"/>
      <w:b/>
      <w:caps/>
      <w:sz w:val="28"/>
    </w:rPr>
  </w:style>
  <w:style w:type="paragraph" w:styleId="WSTitle-Lft-5Indnt-Bold-Ital">
    <w:name w:val="WS Title-Lft-.5&quot; Indnt-Bold-Ital"/>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i/>
      <w:sz w:val="24"/>
    </w:rPr>
  </w:style>
  <w:style w:type="paragraph" w:styleId="WSTitle-Lft-SCaps-Bold">
    <w:name w:val="WS Title-Lft-SCaps-Bold"/>
    <w:basedOn w:val="Normal"/>
    <w:next w:val="WSBodyStand-Just-11stLnIndnt"/>
    <w:qFormat/>
    <w:pPr>
      <w:keepNext w:val="true"/>
      <w:spacing w:before="240" w:after="120"/>
    </w:pPr>
    <w:rPr>
      <w:rFonts w:ascii="Times New Roman Bold;Times New Roman" w:hAnsi="Times New Roman Bold;Times New Roman" w:cs="Times New Roman Bold;Times New Roman"/>
      <w:b/>
      <w:smallCaps/>
      <w:sz w:val="24"/>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2000-07-20T20:29:00Z</dcterms:created>
  <dc:creator>Winston &amp; Strawn</dc:creator>
  <dc:description/>
  <dc:language>en-CA</dc:language>
  <cp:lastModifiedBy>Winston &amp; Strawn</cp:lastModifiedBy>
  <cp:lastPrinted>2000-07-20T17:58:00Z</cp:lastPrinted>
  <dcterms:modified xsi:type="dcterms:W3CDTF">2000-07-20T20:29:00Z</dcterms:modified>
  <cp:revision>2</cp:revision>
  <dc:subject/>
  <dc:title>GenPower ADA</dc:title>
</cp:coreProperties>
</file>