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0" w:after="120"/>
        <w:ind w:firstLine="720" w:start="0" w:end="0"/>
        <w:jc w:val="center"/>
        <w:rPr/>
      </w:pPr>
      <w:r>
        <w:rPr/>
        <w:t>GenPower ADA</w:t>
      </w:r>
    </w:p>
    <w:p>
      <w:pPr>
        <w:pStyle w:val="Heading3"/>
        <w:spacing w:before="0" w:after="120"/>
        <w:ind w:firstLine="720" w:start="0" w:end="0"/>
        <w:jc w:val="both"/>
        <w:rPr/>
      </w:pPr>
      <w:r>
        <w:rPr/>
        <w:t>(f)</w:t>
        <w:tab/>
        <w:t xml:space="preserve">In connection with any such sale of the Property, the Lessee will provide to </w:t>
      </w:r>
      <w:r>
        <w:rPr>
          <w:b/>
          <w:u w:val="double"/>
        </w:rPr>
        <w:t>(i)</w:t>
      </w:r>
      <w:r>
        <w:rPr/>
        <w:t xml:space="preserve"> each purchaser all customary "seller's" </w:t>
      </w:r>
      <w:r>
        <w:rPr>
          <w:strike/>
        </w:rPr>
        <w:t>indemnities,</w:t>
      </w:r>
      <w:r>
        <w:rPr/>
        <w:t xml:space="preserve"> representations and warranties regarding absence of Liens (except Lessor Liens) and the condition of the Property </w:t>
      </w:r>
      <w:r>
        <w:rPr>
          <w:b/>
          <w:u w:val="double"/>
        </w:rPr>
        <w:t>and (ii) the Lessor with a back-to-back indemnity with respect to any customary indemnities provided by the Lessor to each purchaser</w:t>
      </w:r>
      <w:r>
        <w:rPr/>
        <w:t>.  The Lessee shall have obtained, at its cost and expense, all required governmental and regulatory consents and approvals and shall have made all filings as required by Applicable Law in order to carry out and complete the transfer of the Property.  As to the Lessor, any such sale shall be made on an "as is, with all faults" basis without representation or warranty by the Lessor other than the absence of Lessor Liens.  Notwithstanding any such sale agreement, the Lessor's rights hereunder with respect to the Lessee shall remain in full force and effect.</w:t>
      </w:r>
    </w:p>
    <w:p>
      <w:pPr>
        <w:pStyle w:val="Heading3"/>
        <w:spacing w:before="0" w:after="120"/>
        <w:ind w:firstLine="720" w:start="0" w:end="0"/>
        <w:jc w:val="both"/>
        <w:rPr/>
      </w:pPr>
      <w:r>
        <w:rPr/>
        <w:t>(g)</w:t>
        <w:tab/>
        <w:t xml:space="preserve">The Lessee shall pay directly (subject to the Lessee's right to reimbursement from the Lessor as part of the Funding Commitment as set forth in the Budget as contemplated by </w:t>
      </w:r>
      <w:r>
        <w:rPr>
          <w:u w:val="single"/>
        </w:rPr>
        <w:t>Section 3.1</w:t>
      </w:r>
      <w:r>
        <w:rPr/>
        <w:t>), and not from the sale proceeds, all reasonable costs and expenses (as agreed to by the Lessor) of the sale of the Property, whether incurred by the Lessor or the Lessee, including without limitation, the cost of all appraisals, transfer taxes, the Lessor's reasonable attorneys' fees, the Lessee's attorneys' fees, commissions, marketing expenses, filing fees, recording fees, and all applicable documentary and other transfer taxes.</w:t>
      </w:r>
    </w:p>
    <w:p>
      <w:pPr>
        <w:pStyle w:val="Heading3"/>
        <w:spacing w:before="0" w:after="120"/>
        <w:ind w:firstLine="720" w:start="0" w:end="0"/>
        <w:jc w:val="both"/>
        <w:rPr/>
      </w:pPr>
      <w:r>
        <w:rPr/>
        <w:t>(h)</w:t>
        <w:tab/>
        <w:t>The Lessee shall pay to the Lessor, on or prior to the Final Lease Date (or to such other Person as the Lessor shall notify the Lessee in writing) an amount equal to accrued and unpaid Lessor Yield, the Facility Fee and all other amounts hereunder which have accrued and are unpaid or will accrue and be unpaid prior to or as of the Final Lease Date.</w:t>
      </w:r>
    </w:p>
    <w:p>
      <w:pPr>
        <w:pStyle w:val="Heading3"/>
        <w:spacing w:before="0" w:after="120"/>
        <w:ind w:firstLine="720" w:start="0" w:end="0"/>
        <w:jc w:val="both"/>
        <w:rPr/>
      </w:pPr>
      <w:r>
        <w:rPr/>
        <w:t>(i)</w:t>
        <w:tab/>
        <w:t xml:space="preserve">Following the determination by the Lessor of the highest bid pursuant to </w:t>
      </w:r>
      <w:r>
        <w:rPr>
          <w:u w:val="single"/>
        </w:rPr>
        <w:t>Section 7.2(e)</w:t>
      </w:r>
      <w:r>
        <w:rPr/>
        <w:t>, the purchase of the Property shall be consummated on or before the Final Lease Date, the gross proceeds of the sale of the Property (the "</w:t>
      </w:r>
      <w:r>
        <w:rPr>
          <w:u w:val="single"/>
        </w:rPr>
        <w:t>Gross Proceeds</w:t>
      </w:r>
      <w:r>
        <w:rPr/>
        <w:t xml:space="preserve">") shall be paid to the Lessor, and the Lessee shall deliver the Property to the purchaser or purchasers thereof in accordance with </w:t>
      </w:r>
      <w:r>
        <w:rPr>
          <w:u w:val="single"/>
        </w:rPr>
        <w:t>Section 7.3</w:t>
      </w:r>
      <w:r>
        <w:rPr/>
        <w:t xml:space="preserve">.  To the extent that (i) the Gross Proceeds of the sale of the Property, less the reasonable (as agreed to by the Lessor as aforesaid) documented expenses incurred by the Lessee under </w:t>
      </w:r>
      <w:r>
        <w:rPr>
          <w:u w:val="single"/>
        </w:rPr>
        <w:t>clause (d), (f) and (g)</w:t>
      </w:r>
      <w:r>
        <w:rPr/>
        <w:t xml:space="preserve"> and </w:t>
      </w:r>
      <w:r>
        <w:rPr>
          <w:u w:val="single"/>
        </w:rPr>
        <w:t>Section 7.3(b)</w:t>
      </w:r>
      <w:r>
        <w:rPr/>
        <w:t xml:space="preserve"> (the "</w:t>
      </w:r>
      <w:r>
        <w:rPr>
          <w:u w:val="single"/>
        </w:rPr>
        <w:t>Adjusted Gross Proceeds</w:t>
      </w:r>
      <w:r>
        <w:rPr/>
        <w:t xml:space="preserve">") are less than (ii) the difference between (A) the Maximum Recourse Amount minus (B) the sum of (1) the Deposit Payment and (2) any insurance proceeds with respect to the Property received and retained by the Lessor prior to such date, which insurance proceeds are in excess of the difference between (x) the Termination Amount minus (y) the Maximum Recourse Amount, the Lessee shall pay to the Lessor the amount of such shortfall.  To the extent that (i) the Adjusted Gross Proceeds exceed (ii) the difference between (A) the Termination Amount minus (B) the sum of (1) the Deposit Payment and (2) any insurance proceeds with respect to the Property received and retained by the Lessor prior to such date, the Lessor shall pay to the Lessee the amount of such excess.  </w:t>
      </w:r>
    </w:p>
    <w:p>
      <w:pPr>
        <w:pStyle w:val="Heading3"/>
        <w:spacing w:before="0" w:after="120"/>
        <w:ind w:firstLine="720" w:start="0" w:end="0"/>
        <w:jc w:val="both"/>
        <w:rPr/>
      </w:pPr>
      <w:r>
        <w:rPr/>
        <w:t xml:space="preserve">If after exercise of the Return Option, one or more of the foregoing provisions shall not be fulfilled as of the date set forth above with respect to the Property, then the Lessor may declare by written notice to the Lessee the Return Option to be null and void (whether or not it has been theretofore exercised by the Lessee), in which event all of the Lessee's rights under this </w:t>
      </w:r>
      <w:r>
        <w:rPr>
          <w:u w:val="single"/>
        </w:rPr>
        <w:t>Section 7.2</w:t>
      </w:r>
      <w:r>
        <w:rPr/>
        <w:t xml:space="preserve"> shall immediately terminate and the Lessee shall be obligated to purchase the Property from Lessor by payment of the Termination Amount on or before the Final Lease Date pursuant to </w:t>
      </w:r>
      <w:r>
        <w:rPr>
          <w:u w:val="single"/>
        </w:rPr>
        <w:t>Article IX</w:t>
      </w:r>
      <w:r>
        <w:rPr/>
        <w:t>.</w:t>
      </w:r>
    </w:p>
    <w:p>
      <w:pPr>
        <w:pStyle w:val="Normal"/>
        <w:rPr/>
      </w:pPr>
      <w:r>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SBodyStand-Just-11stLnIndnt">
    <w:name w:val="WS _Body Stand-Just-1&quot; 1st Ln Indnt"/>
    <w:basedOn w:val="Normal"/>
    <w:qFormat/>
    <w:pPr>
      <w:spacing w:before="0" w:after="240"/>
      <w:ind w:firstLine="1440" w:start="0" w:end="0"/>
      <w:jc w:val="both"/>
    </w:pPr>
    <w:rPr>
      <w:sz w:val="24"/>
    </w:rPr>
  </w:style>
  <w:style w:type="paragraph" w:styleId="WSBodyStand-Just-11stLnIndnt-DS">
    <w:name w:val="WS _Body Stand-Just-1&quot; 1st Ln Indnt-DS"/>
    <w:basedOn w:val="Normal"/>
    <w:qFormat/>
    <w:pPr>
      <w:spacing w:lineRule="auto" w:line="480"/>
      <w:ind w:firstLine="1440" w:start="0" w:end="0"/>
      <w:jc w:val="both"/>
    </w:pPr>
    <w:rPr>
      <w:sz w:val="24"/>
    </w:rPr>
  </w:style>
  <w:style w:type="paragraph" w:styleId="WSBody-Just">
    <w:name w:val="WS Body-Just"/>
    <w:basedOn w:val="Normal"/>
    <w:qFormat/>
    <w:pPr>
      <w:spacing w:before="0" w:after="240"/>
      <w:jc w:val="both"/>
    </w:pPr>
    <w:rPr>
      <w:sz w:val="24"/>
    </w:rPr>
  </w:style>
  <w:style w:type="paragraph" w:styleId="WSBody-Just-51stLnIndnt">
    <w:name w:val="WS Body-Just-.5&quot; 1st Ln Indnt"/>
    <w:basedOn w:val="Normal"/>
    <w:qFormat/>
    <w:pPr>
      <w:spacing w:before="0" w:after="240"/>
      <w:ind w:firstLine="720" w:start="0" w:end="0"/>
      <w:jc w:val="both"/>
    </w:pPr>
    <w:rPr>
      <w:sz w:val="24"/>
    </w:rPr>
  </w:style>
  <w:style w:type="paragraph" w:styleId="WSBody-Just-51stLnIndnt-DS">
    <w:name w:val="WS Body-Just-.5&quot; 1st Ln Indnt-DS"/>
    <w:basedOn w:val="Normal"/>
    <w:qFormat/>
    <w:pPr>
      <w:spacing w:lineRule="auto" w:line="480"/>
      <w:ind w:firstLine="720" w:start="0" w:end="0"/>
      <w:jc w:val="both"/>
    </w:pPr>
    <w:rPr>
      <w:sz w:val="24"/>
    </w:rPr>
  </w:style>
  <w:style w:type="paragraph" w:styleId="WSBody-Just-DS">
    <w:name w:val="WS Body-Just-DS"/>
    <w:basedOn w:val="Normal"/>
    <w:qFormat/>
    <w:pPr>
      <w:spacing w:lineRule="auto" w:line="480"/>
      <w:jc w:val="both"/>
    </w:pPr>
    <w:rPr>
      <w:sz w:val="24"/>
    </w:rPr>
  </w:style>
  <w:style w:type="paragraph" w:styleId="WSBullet-1HngIndnt">
    <w:name w:val="WS Bullet-1&quot; Hng Indnt"/>
    <w:basedOn w:val="Normal"/>
    <w:qFormat/>
    <w:pPr>
      <w:numPr>
        <w:ilvl w:val="0"/>
        <w:numId w:val="2"/>
      </w:numPr>
      <w:tabs>
        <w:tab w:val="clear" w:pos="720"/>
      </w:tabs>
      <w:spacing w:before="0" w:after="240"/>
      <w:ind w:hanging="720" w:start="2160" w:end="0"/>
      <w:jc w:val="both"/>
    </w:pPr>
    <w:rPr>
      <w:sz w:val="24"/>
    </w:rPr>
  </w:style>
  <w:style w:type="paragraph" w:styleId="WSBullet-1HngIndnt-DS">
    <w:name w:val="WS Bullet-1&quot; Hng Indnt-DS"/>
    <w:basedOn w:val="Normal"/>
    <w:qFormat/>
    <w:pPr>
      <w:numPr>
        <w:ilvl w:val="0"/>
        <w:numId w:val="3"/>
      </w:numPr>
      <w:tabs>
        <w:tab w:val="clear" w:pos="720"/>
      </w:tabs>
      <w:spacing w:lineRule="auto" w:line="480" w:before="0" w:after="240"/>
      <w:ind w:hanging="720" w:start="2160" w:end="0"/>
      <w:jc w:val="both"/>
    </w:pPr>
    <w:rPr>
      <w:sz w:val="24"/>
    </w:rPr>
  </w:style>
  <w:style w:type="paragraph" w:styleId="WSCapt-Ctr-Caps-Bold">
    <w:name w:val="WS Capt-Ctr-Caps-Bold"/>
    <w:basedOn w:val="Normal"/>
    <w:next w:val="WSBodyStand-Just-11stLnIndnt"/>
    <w:qFormat/>
    <w:pPr>
      <w:keepNext w:val="true"/>
      <w:spacing w:before="0" w:after="240"/>
      <w:jc w:val="center"/>
    </w:pPr>
    <w:rPr>
      <w:rFonts w:ascii="Times New Roman Bold;Times New Roman" w:hAnsi="Times New Roman Bold;Times New Roman" w:cs="Times New Roman Bold;Times New Roman"/>
      <w:b/>
      <w:caps/>
      <w:sz w:val="24"/>
    </w:rPr>
  </w:style>
  <w:style w:type="paragraph" w:styleId="WSCapt-Lft-5Indnt-Bold">
    <w:name w:val="WS Capt-Lft-.5&quot; Indnt-Bold"/>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sz w:val="24"/>
    </w:rPr>
  </w:style>
  <w:style w:type="paragraph" w:styleId="WSHd-5LftIndnt-Bold-Ital">
    <w:name w:val="WS Hd-.5&quot; Lft Indnt-Bold-Ital"/>
    <w:basedOn w:val="Normal"/>
    <w:next w:val="WSBodyStand-Just-11stLnIndnt"/>
    <w:qFormat/>
    <w:pPr>
      <w:spacing w:before="0" w:after="240"/>
      <w:ind w:hanging="0" w:start="720" w:end="0"/>
    </w:pPr>
    <w:rPr>
      <w:rFonts w:ascii="Times New Roman Bold;Times New Roman" w:hAnsi="Times New Roman Bold;Times New Roman" w:cs="Times New Roman Bold;Times New Roman"/>
      <w:b/>
      <w:i/>
      <w:sz w:val="24"/>
    </w:rPr>
  </w:style>
  <w:style w:type="paragraph" w:styleId="WSHd-Lft-18ptFt-SCaps-Brder">
    <w:name w:val="WS Hd-Lft-18ptFt-SCaps-Brder"/>
    <w:basedOn w:val="Normal"/>
    <w:next w:val="WSBodyStand-Just-11stLnIndnt"/>
    <w:qFormat/>
    <w:pPr>
      <w:pBdr>
        <w:bottom w:val="single" w:sz="4" w:space="1" w:color="000000"/>
      </w:pBdr>
    </w:pPr>
    <w:rPr>
      <w:b/>
      <w:smallCaps/>
      <w:spacing w:val="12"/>
      <w:sz w:val="36"/>
    </w:rPr>
  </w:style>
  <w:style w:type="paragraph" w:styleId="WSHd-Rght-14ptFt-SCaps-Bold">
    <w:name w:val="WS Hd-Rght-14ptFt-SCaps-Bold"/>
    <w:basedOn w:val="Normal"/>
    <w:next w:val="WSBodyStand-Just-11stLnIndnt"/>
    <w:qFormat/>
    <w:pPr>
      <w:spacing w:before="0" w:after="240"/>
      <w:jc w:val="end"/>
    </w:pPr>
    <w:rPr>
      <w:rFonts w:ascii="Times New Roman Bold;Times New Roman" w:hAnsi="Times New Roman Bold;Times New Roman" w:cs="Times New Roman Bold;Times New Roman"/>
      <w:b/>
      <w:smallCaps/>
      <w:sz w:val="28"/>
    </w:rPr>
  </w:style>
  <w:style w:type="paragraph" w:styleId="WSIndent-Just-5Indnt">
    <w:name w:val="WS Indent-Just-.5&quot; Indnt"/>
    <w:basedOn w:val="Normal"/>
    <w:qFormat/>
    <w:pPr>
      <w:spacing w:before="0" w:after="240"/>
      <w:ind w:hanging="0" w:start="720" w:end="0"/>
      <w:jc w:val="both"/>
    </w:pPr>
    <w:rPr>
      <w:sz w:val="24"/>
    </w:rPr>
  </w:style>
  <w:style w:type="paragraph" w:styleId="WSIndent-Just-5Indnt-DS">
    <w:name w:val="WS Indent-Just-.5&quot; Indnt-DS"/>
    <w:basedOn w:val="Normal"/>
    <w:qFormat/>
    <w:pPr>
      <w:spacing w:lineRule="auto" w:line="480"/>
      <w:ind w:hanging="0" w:start="720" w:end="0"/>
      <w:jc w:val="both"/>
    </w:pPr>
    <w:rPr>
      <w:sz w:val="24"/>
    </w:rPr>
  </w:style>
  <w:style w:type="paragraph" w:styleId="WSIndent-Just-5LftIndnt-51stLnIndnt">
    <w:name w:val="WS Indent-Just-.5&quot; Lft Indnt-.5 1st Ln Indnt"/>
    <w:basedOn w:val="Normal"/>
    <w:qFormat/>
    <w:pPr>
      <w:spacing w:before="0" w:after="240"/>
      <w:ind w:firstLine="720" w:start="720" w:end="720"/>
      <w:jc w:val="both"/>
    </w:pPr>
    <w:rPr>
      <w:sz w:val="24"/>
    </w:rPr>
  </w:style>
  <w:style w:type="paragraph" w:styleId="WSIndent-Just-5LftIndnt-51stLnIndnt-DS">
    <w:name w:val="WS Indent-Just-.5&quot; Lft Indnt-.5&quot; 1st Ln Indnt-DS"/>
    <w:basedOn w:val="Normal"/>
    <w:qFormat/>
    <w:pPr>
      <w:spacing w:lineRule="auto" w:line="480"/>
      <w:ind w:firstLine="720" w:start="720" w:end="0"/>
      <w:jc w:val="both"/>
    </w:pPr>
    <w:rPr>
      <w:sz w:val="24"/>
    </w:rPr>
  </w:style>
  <w:style w:type="paragraph" w:styleId="WSIndent-Just-5LftRghtIndnt-51stLnIndnt-DS">
    <w:name w:val="WS Indent-Just-.5&quot; Lft+Rght Indnt-.5 1st Ln Indnt-DS"/>
    <w:basedOn w:val="Normal"/>
    <w:qFormat/>
    <w:pPr>
      <w:spacing w:lineRule="auto" w:line="480"/>
      <w:ind w:firstLine="720" w:start="720" w:end="720"/>
      <w:jc w:val="both"/>
    </w:pPr>
    <w:rPr>
      <w:sz w:val="24"/>
    </w:rPr>
  </w:style>
  <w:style w:type="paragraph" w:styleId="WSQuote-1LftRghtIndnt">
    <w:name w:val="WS Quote-1&quot;Lft+Rght Indnt"/>
    <w:basedOn w:val="Normal"/>
    <w:qFormat/>
    <w:pPr>
      <w:spacing w:before="0" w:after="240"/>
      <w:ind w:hanging="0" w:start="1440" w:end="1440"/>
    </w:pPr>
    <w:rPr>
      <w:sz w:val="24"/>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z w:val="24"/>
    </w:rPr>
  </w:style>
  <w:style w:type="paragraph" w:styleId="WSTitle-Ctr-14ptFt-Caps-Bold">
    <w:name w:val="WS Title-Ctr-14ptFt-Caps-Bold"/>
    <w:basedOn w:val="Normal"/>
    <w:next w:val="WSBodyStand-Just-11stLnIndnt"/>
    <w:qFormat/>
    <w:pPr>
      <w:keepNext w:val="true"/>
      <w:spacing w:before="120" w:after="240"/>
      <w:jc w:val="center"/>
    </w:pPr>
    <w:rPr>
      <w:rFonts w:ascii="Times New Roman Bold;Times New Roman" w:hAnsi="Times New Roman Bold;Times New Roman" w:cs="Times New Roman Bold;Times New Roman"/>
      <w:b/>
      <w:caps/>
      <w:sz w:val="28"/>
    </w:rPr>
  </w:style>
  <w:style w:type="paragraph" w:styleId="WSTitle-Lft-5Indnt-Bold-Ital">
    <w:name w:val="WS Title-Lft-.5&quot; Indnt-Bold-Ital"/>
    <w:basedOn w:val="Normal"/>
    <w:next w:val="WSBodyStand-Just-11stLnIndnt"/>
    <w:qFormat/>
    <w:pPr>
      <w:keepNext w:val="true"/>
      <w:spacing w:before="0" w:after="240"/>
      <w:ind w:hanging="0" w:start="720" w:end="0"/>
    </w:pPr>
    <w:rPr>
      <w:rFonts w:ascii="Times New Roman Bold;Times New Roman" w:hAnsi="Times New Roman Bold;Times New Roman" w:cs="Times New Roman Bold;Times New Roman"/>
      <w:b/>
      <w:i/>
      <w:sz w:val="24"/>
    </w:rPr>
  </w:style>
  <w:style w:type="paragraph" w:styleId="WSTitle-Lft-SCaps-Bold">
    <w:name w:val="WS Title-Lft-SCaps-Bold"/>
    <w:basedOn w:val="Normal"/>
    <w:next w:val="WSBodyStand-Just-11stLnIndnt"/>
    <w:qFormat/>
    <w:pPr>
      <w:keepNext w:val="true"/>
      <w:spacing w:before="240" w:after="120"/>
    </w:pPr>
    <w:rPr>
      <w:rFonts w:ascii="Times New Roman Bold;Times New Roman" w:hAnsi="Times New Roman Bold;Times New Roman" w:cs="Times New Roman Bold;Times New Roman"/>
      <w:b/>
      <w:smallCaps/>
      <w:sz w:val="24"/>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2000-07-20T20:44:00Z</dcterms:created>
  <dc:creator>Winston &amp; Strawn</dc:creator>
  <dc:description/>
  <dc:language>en-CA</dc:language>
  <cp:lastModifiedBy>Winston &amp; Strawn</cp:lastModifiedBy>
  <cp:lastPrinted>2000-07-20T18:00:00Z</cp:lastPrinted>
  <dcterms:modified xsi:type="dcterms:W3CDTF">2000-07-20T20:44:00Z</dcterms:modified>
  <cp:revision>2</cp:revision>
  <dc:subject/>
  <dc:title>GEN POWER ADA</dc:title>
</cp:coreProperties>
</file>