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t>5.</w:t>
        <w:tab/>
        <w:t>Financial Information</w:t>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pPr>
      <w:r>
        <w:rPr>
          <w:b/>
          <w:color w:val="000000"/>
          <w:sz w:val="36"/>
          <w:lang w:eastAsia="en-US"/>
        </w:rPr>
        <w:t>5-a.</w:t>
        <w:tab/>
      </w:r>
      <w:r>
        <w:rPr>
          <w:b/>
          <w:sz w:val="36"/>
          <w:lang w:eastAsia="en-US"/>
        </w:rPr>
        <w:t>Description of Financial Model</w:t>
      </w:r>
    </w:p>
    <w:p>
      <w:pPr>
        <w:pStyle w:val="A0"/>
        <w:rPr>
          <w:rFonts w:ascii="Times New Roman" w:hAnsi="Times New Roman" w:cs="Times New Roman"/>
        </w:rPr>
      </w:pPr>
      <w:r>
        <w:rPr>
          <w:rFonts w:cs="Times New Roman" w:ascii="Times New Roman" w:hAnsi="Times New Roman"/>
        </w:rPr>
        <w:t>This section provides a description of the principal assumptions and calculations used in the financial model.  The table below lists a number of the key inputs for the financial model.</w:t>
      </w:r>
    </w:p>
    <w:p>
      <w:pPr>
        <w:pStyle w:val="A0"/>
        <w:rPr>
          <w:rFonts w:ascii="Times New Roman" w:hAnsi="Times New Roman" w:cs="Times New Roman"/>
        </w:rPr>
      </w:pPr>
      <w:r>
        <w:rPr>
          <w:rFonts w:cs="Times New Roman" w:ascii="Times New Roman" w:hAnsi="Times New Roman"/>
        </w:rPr>
      </w:r>
    </w:p>
    <w:p>
      <w:pPr>
        <w:pStyle w:val="Heading8"/>
        <w:rPr/>
      </w:pPr>
      <w:r>
        <w:rPr/>
        <w:t>Key Inputs</w:t>
      </w:r>
    </w:p>
    <w:p>
      <w:pPr>
        <w:pStyle w:val="Normal"/>
        <w:rPr/>
      </w:pPr>
      <w:r>
        <w:rPr/>
      </w:r>
    </w:p>
    <w:tbl>
      <w:tblPr>
        <w:tblW w:w="9588" w:type="dxa"/>
        <w:jc w:val="start"/>
        <w:tblInd w:w="270" w:type="dxa"/>
        <w:tblLayout w:type="fixed"/>
        <w:tblCellMar>
          <w:top w:w="0" w:type="dxa"/>
          <w:start w:w="0" w:type="dxa"/>
          <w:bottom w:w="0" w:type="dxa"/>
          <w:end w:w="0" w:type="dxa"/>
        </w:tblCellMar>
      </w:tblPr>
      <w:tblGrid>
        <w:gridCol w:w="2076"/>
        <w:gridCol w:w="1254"/>
        <w:gridCol w:w="1152"/>
        <w:gridCol w:w="1152"/>
        <w:gridCol w:w="498"/>
        <w:gridCol w:w="1152"/>
        <w:gridCol w:w="1152"/>
        <w:gridCol w:w="1152"/>
      </w:tblGrid>
      <w:tr>
        <w:trPr>
          <w:trHeight w:val="435" w:hRule="atLeast"/>
        </w:trPr>
        <w:tc>
          <w:tcPr>
            <w:tcW w:w="2076"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558"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1999 Plants</w:t>
            </w:r>
          </w:p>
        </w:tc>
        <w:tc>
          <w:tcPr>
            <w:tcW w:w="498"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456"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2000 Plants</w:t>
            </w:r>
          </w:p>
        </w:tc>
      </w:tr>
      <w:tr>
        <w:trPr>
          <w:trHeight w:val="435" w:hRule="atLeast"/>
        </w:trPr>
        <w:tc>
          <w:tcPr>
            <w:tcW w:w="2076" w:type="dxa"/>
            <w:tcBorders>
              <w:bottom w:val="single" w:sz="2" w:space="0" w:color="000000"/>
            </w:tcBorders>
            <w:vAlign w:val="bottom"/>
          </w:tcPr>
          <w:p>
            <w:pPr>
              <w:pStyle w:val="TableHeadings"/>
              <w:snapToGrid w:val="false"/>
              <w:spacing w:before="36" w:after="36"/>
              <w:rPr>
                <w:rFonts w:ascii="Times New Roman" w:hAnsi="Times New Roman" w:cs="Times New Roman"/>
                <w:caps/>
              </w:rPr>
            </w:pPr>
            <w:r>
              <w:rPr>
                <w:rFonts w:cs="Times New Roman" w:ascii="Times New Roman" w:hAnsi="Times New Roman"/>
                <w:caps/>
              </w:rPr>
            </w:r>
          </w:p>
        </w:tc>
        <w:tc>
          <w:tcPr>
            <w:tcW w:w="1254"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BROWNSVILLE</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caledonia</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new</w:t>
              <w:br/>
              <w:t>albany</w:t>
            </w:r>
          </w:p>
        </w:tc>
        <w:tc>
          <w:tcPr>
            <w:tcW w:w="498" w:type="dxa"/>
            <w:tcBorders>
              <w:bottom w:val="single" w:sz="2" w:space="0" w:color="000000"/>
            </w:tcBorders>
            <w:vAlign w:val="bottom"/>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GleasoN</w:t>
            </w:r>
          </w:p>
        </w:tc>
        <w:tc>
          <w:tcPr>
            <w:tcW w:w="1152" w:type="dxa"/>
            <w:tcBorders>
              <w:bottom w:val="single" w:sz="2" w:space="0" w:color="000000"/>
            </w:tcBorders>
          </w:tcPr>
          <w:p>
            <w:pPr>
              <w:pStyle w:val="TableHeadings"/>
              <w:spacing w:before="36" w:after="36"/>
              <w:rPr>
                <w:rFonts w:ascii="Times New Roman" w:hAnsi="Times New Roman" w:cs="Times New Roman"/>
              </w:rPr>
            </w:pPr>
            <w:r>
              <w:rPr>
                <w:rFonts w:cs="Times New Roman" w:ascii="Times New Roman" w:hAnsi="Times New Roman"/>
              </w:rPr>
              <w:br/>
              <w:t>wheatland</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wilton center</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PPA Start Date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Contractual PPA Capacity (MW)</w:t>
            </w:r>
            <w:r>
              <w:rPr>
                <w:rFonts w:cs="Times New Roman" w:ascii="Times New Roman" w:hAnsi="Times New Roman"/>
                <w:sz w:val="16"/>
                <w:vertAlign w:val="superscript"/>
              </w:rPr>
              <w:t xml:space="preserve"> (1)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458</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371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510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470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Annual Generation</w:t>
              <w:br/>
              <w:t>(000 MWh/year)</w:t>
            </w:r>
            <w:r>
              <w:rPr>
                <w:rFonts w:cs="Times New Roman" w:ascii="Times New Roman" w:hAnsi="Times New Roman"/>
                <w:sz w:val="16"/>
                <w:vertAlign w:val="superscript"/>
              </w:rPr>
              <w:t>(1)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625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544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410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533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2,002</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Demand Charge Rate</w:t>
              <w:br/>
              <w:t>($/kW-month)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 xml:space="preserve">Energy Charge </w:t>
            </w:r>
          </w:p>
          <w:p>
            <w:pPr>
              <w:pStyle w:val="TableText"/>
              <w:spacing w:before="36" w:after="36"/>
              <w:rPr>
                <w:rFonts w:ascii="Times New Roman" w:hAnsi="Times New Roman" w:cs="Times New Roman"/>
                <w:sz w:val="16"/>
              </w:rPr>
            </w:pPr>
            <w:r>
              <w:rPr>
                <w:rFonts w:cs="Times New Roman" w:ascii="Times New Roman" w:hAnsi="Times New Roman"/>
                <w:sz w:val="16"/>
              </w:rP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Start Charge (2000 $/Start/turbine)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Assumed Starts Per Year</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Number of Turbines</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Variable O&amp;M Rate</w:t>
              <w:b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O&amp;M</w:t>
              <w:br/>
              <w:t>(2000 $000)</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1,564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1,721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1,878</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1,242</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1,516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1,449</w:t>
            </w:r>
          </w:p>
        </w:tc>
      </w:tr>
      <w:tr>
        <w:trPr>
          <w:trHeight w:val="435" w:hRule="atLeast"/>
        </w:trPr>
        <w:tc>
          <w:tcPr>
            <w:tcW w:w="2076" w:type="dxa"/>
            <w:tcBorders/>
          </w:tcPr>
          <w:p>
            <w:pPr>
              <w:pStyle w:val="TableText"/>
              <w:spacing w:before="36" w:after="36"/>
              <w:rPr/>
            </w:pPr>
            <w:r>
              <w:rPr>
                <w:rFonts w:cs="Times New Roman" w:ascii="Times New Roman" w:hAnsi="Times New Roman"/>
                <w:sz w:val="16"/>
              </w:rPr>
              <w:t>Plant Net Heat Rate @ 90</w:t>
            </w:r>
            <w:r>
              <w:rPr>
                <w:rFonts w:cs="Times New Roman" w:ascii="Times New Roman" w:hAnsi="Times New Roman"/>
                <w:sz w:val="16"/>
                <w:vertAlign w:val="superscript"/>
              </w:rPr>
              <w:t>0</w:t>
            </w:r>
            <w:r>
              <w:rPr>
                <w:rFonts w:cs="Times New Roman" w:ascii="Times New Roman" w:hAnsi="Times New Roman"/>
                <w:sz w:val="16"/>
              </w:rPr>
              <w:t xml:space="preserve"> (HHV, Btu/kWh)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11,406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12,064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12,500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10,592</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11,734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11,973</w:t>
            </w:r>
          </w:p>
        </w:tc>
      </w:tr>
      <w:tr>
        <w:trPr>
          <w:trHeight w:val="435" w:hRule="atLeast"/>
        </w:trPr>
        <w:tc>
          <w:tcPr>
            <w:tcW w:w="2076" w:type="dxa"/>
            <w:tcBorders>
              <w:bottom w:val="single" w:sz="4" w:space="0" w:color="000000"/>
            </w:tcBorders>
          </w:tcPr>
          <w:p>
            <w:pPr>
              <w:pStyle w:val="TableText"/>
              <w:spacing w:before="36" w:after="36"/>
              <w:ind w:firstLine="7" w:end="0"/>
              <w:rPr>
                <w:rFonts w:ascii="Times New Roman" w:hAnsi="Times New Roman" w:cs="Times New Roman"/>
                <w:sz w:val="16"/>
              </w:rPr>
            </w:pPr>
            <w:r>
              <w:rPr>
                <w:rFonts w:cs="Times New Roman" w:ascii="Times New Roman" w:hAnsi="Times New Roman"/>
                <w:sz w:val="16"/>
              </w:rPr>
              <w:t xml:space="preserve">Applicable State </w:t>
              <w:br/>
              <w:t>Income Tax Rate</w:t>
            </w:r>
          </w:p>
        </w:tc>
        <w:tc>
          <w:tcPr>
            <w:tcW w:w="1254"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498" w:type="dxa"/>
            <w:tcBorders>
              <w:bottom w:val="single" w:sz="4" w:space="0" w:color="000000"/>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7.18%</w:t>
            </w:r>
          </w:p>
        </w:tc>
      </w:tr>
    </w:tbl>
    <w:p>
      <w:pPr>
        <w:pStyle w:val="Caption"/>
        <w:numPr>
          <w:ilvl w:val="0"/>
          <w:numId w:val="30"/>
        </w:numPr>
        <w:tabs>
          <w:tab w:val="clear" w:pos="720"/>
          <w:tab w:val="left" w:pos="630" w:leader="none"/>
        </w:tabs>
        <w:ind w:hanging="0" w:start="0"/>
        <w:rPr>
          <w:rFonts w:ascii="Times New Roman" w:hAnsi="Times New Roman" w:cs="Times New Roman"/>
        </w:rPr>
      </w:pPr>
      <w:r>
        <w:rPr>
          <w:rFonts w:cs="Times New Roman" w:ascii="Times New Roman" w:hAnsi="Times New Roman"/>
        </w:rPr>
        <w:t>Includes additional capacity of 20 MW at Caledonia and 15 MW at New Albany, with installation of evaporative coolers by June 2000.</w:t>
      </w:r>
    </w:p>
    <w:p>
      <w:pPr>
        <w:pStyle w:val="Caption"/>
        <w:numPr>
          <w:ilvl w:val="0"/>
          <w:numId w:val="0"/>
        </w:numPr>
        <w:tabs>
          <w:tab w:val="clear" w:pos="720"/>
          <w:tab w:val="left" w:pos="630" w:leader="none"/>
        </w:tabs>
        <w:ind w:hanging="0" w:start="270" w:end="0"/>
        <w:rPr>
          <w:rFonts w:ascii="Times New Roman" w:hAnsi="Times New Roman" w:cs="Times New Roman"/>
        </w:rPr>
      </w:pPr>
      <w:r>
        <w:rPr>
          <w:rFonts w:cs="Times New Roman" w:ascii="Times New Roman" w:hAnsi="Times New Roman"/>
        </w:rPr>
      </w:r>
    </w:p>
    <w:p>
      <w:pPr>
        <w:pStyle w:val="Sub0n"/>
        <w:numPr>
          <w:ilvl w:val="0"/>
          <w:numId w:val="5"/>
        </w:numPr>
        <w:rPr>
          <w:rFonts w:ascii="Times New Roman" w:hAnsi="Times New Roman" w:cs="Times New Roman"/>
        </w:rPr>
      </w:pPr>
      <w:r>
        <w:rPr>
          <w:rFonts w:cs="Times New Roman" w:ascii="Times New Roman" w:hAnsi="Times New Roman"/>
        </w:rPr>
        <w:t>Capital Costs</w:t>
      </w:r>
    </w:p>
    <w:p>
      <w:pPr>
        <w:pStyle w:val="A0"/>
        <w:rPr/>
      </w:pPr>
      <w:r>
        <w:rPr>
          <w:rFonts w:cs="Times New Roman" w:ascii="Times New Roman" w:hAnsi="Times New Roman"/>
          <w:b/>
        </w:rPr>
        <w:t>Debt and Equity.</w:t>
      </w:r>
      <w:r>
        <w:rPr>
          <w:rFonts w:cs="Times New Roman" w:ascii="Times New Roman" w:hAnsi="Times New Roman"/>
        </w:rPr>
        <w:t xml:space="preserve"> The financial model allocates the sources of capital from debt and equity to the 1999 Plants and the 2000 Plants at 42% and 58%, respectively. </w:t>
      </w:r>
    </w:p>
    <w:p>
      <w:pPr>
        <w:pStyle w:val="A0"/>
        <w:rPr/>
      </w:pPr>
      <w:r>
        <w:rPr>
          <w:rFonts w:cs="Times New Roman" w:ascii="Times New Roman" w:hAnsi="Times New Roman"/>
          <w:b/>
        </w:rPr>
        <w:t>Power Contract Liability.</w:t>
      </w:r>
      <w:r>
        <w:rPr>
          <w:rFonts w:cs="Times New Roman" w:ascii="Times New Roman" w:hAnsi="Times New Roman"/>
        </w:rPr>
        <w:t xml:space="preserve">  Pursuant to APB 16, the present value of difference between the $4.00 Fixed Price Demand Charge Rate and the ICF Curve for years 2001-2003 is capitalized on a plant-by-plant basis for GAAP purposes.</w:t>
      </w:r>
    </w:p>
    <w:p>
      <w:pPr>
        <w:pStyle w:val="Sub0n"/>
        <w:tabs>
          <w:tab w:val="clear" w:pos="720"/>
          <w:tab w:val="left" w:pos="1440" w:leader="none"/>
        </w:tabs>
        <w:ind w:hanging="720" w:start="1440" w:end="0"/>
        <w:rPr>
          <w:rFonts w:ascii="Times New Roman" w:hAnsi="Times New Roman" w:cs="Times New Roman"/>
          <w:b w:val="false"/>
        </w:rPr>
      </w:pPr>
      <w:r>
        <w:rPr>
          <w:rFonts w:cs="Times New Roman" w:ascii="Times New Roman" w:hAnsi="Times New Roman"/>
        </w:rPr>
        <w:t>B.</w:t>
        <w:tab/>
        <w:t>Revenue Assumptions</w:t>
      </w:r>
    </w:p>
    <w:p>
      <w:pPr>
        <w:pStyle w:val="A0"/>
        <w:rPr>
          <w:rFonts w:ascii="Times New Roman" w:hAnsi="Times New Roman" w:cs="Times New Roman"/>
        </w:rPr>
      </w:pPr>
      <w:r>
        <w:rPr>
          <w:rFonts w:cs="Times New Roman" w:ascii="Times New Roman" w:hAnsi="Times New Roman"/>
        </w:rPr>
        <w:t>In calculating revenue, the financial model incorporates the terms of the PPAs and merchant price projections from ICF Resources’ (“ICF”) market report.</w:t>
      </w:r>
    </w:p>
    <w:p>
      <w:pPr>
        <w:pStyle w:val="Sub0n"/>
        <w:ind w:start="1440" w:end="0"/>
        <w:rPr>
          <w:rFonts w:ascii="Times New Roman" w:hAnsi="Times New Roman" w:cs="Times New Roman"/>
        </w:rPr>
      </w:pPr>
      <w:r>
        <w:rPr>
          <w:rFonts w:cs="Times New Roman" w:ascii="Times New Roman" w:hAnsi="Times New Roman"/>
        </w:rPr>
        <w:t>1.</w:t>
        <w:tab/>
        <w:t>Fixed Price Period Operating Revenue Assumptions</w:t>
      </w:r>
    </w:p>
    <w:p>
      <w:pPr>
        <w:pStyle w:val="A0"/>
        <w:keepNext w:val="true"/>
        <w:rPr>
          <w:rFonts w:ascii="Times New Roman" w:hAnsi="Times New Roman" w:cs="Times New Roman"/>
          <w:b/>
        </w:rPr>
      </w:pPr>
      <w:r>
        <w:rPr>
          <w:rFonts w:cs="Times New Roman" w:ascii="Times New Roman" w:hAnsi="Times New Roman"/>
        </w:rPr>
        <w:t>The fixed price period extends from January 1, 2001 through December 31, 2003 for all 6 Plants.</w:t>
      </w:r>
    </w:p>
    <w:p>
      <w:pPr>
        <w:pStyle w:val="A0b"/>
        <w:numPr>
          <w:ilvl w:val="0"/>
          <w:numId w:val="12"/>
        </w:numPr>
        <w:ind w:hanging="360" w:start="1800" w:end="0"/>
        <w:rPr>
          <w:rFonts w:ascii="Times New Roman" w:hAnsi="Times New Roman" w:cs="Times New Roman"/>
        </w:rPr>
      </w:pPr>
      <w:r>
        <w:rPr>
          <w:rFonts w:cs="Times New Roman" w:ascii="Times New Roman" w:hAnsi="Times New Roman"/>
          <w:b/>
        </w:rPr>
        <w:t>Demand Payments.</w:t>
      </w:r>
      <w:r>
        <w:rPr>
          <w:rFonts w:cs="Times New Roman" w:ascii="Times New Roman" w:hAnsi="Times New Roman"/>
        </w:rPr>
        <w:t xml:space="preserve">  ENA pays the Demand Payments, based on a Fixed Demand Charge Rate of $4.00 per kilowatt-month, and calculated as follows:</w:t>
      </w:r>
    </w:p>
    <w:p>
      <w:pPr>
        <w:pStyle w:val="A0b"/>
        <w:numPr>
          <w:ilvl w:val="0"/>
          <w:numId w:val="0"/>
        </w:numPr>
        <w:ind w:firstLine="720" w:start="1440" w:end="0"/>
        <w:rPr/>
      </w:pPr>
      <w:r>
        <w:rPr>
          <w:rFonts w:cs="Times New Roman" w:ascii="Times New Roman" w:hAnsi="Times New Roman"/>
        </w:rPr>
        <w:t xml:space="preserve">Demand Payments = </w:t>
      </w:r>
      <w:r>
        <w:rPr>
          <w:rFonts w:cs="Times New Roman" w:ascii="Times New Roman" w:hAnsi="Times New Roman"/>
          <w:i/>
        </w:rPr>
        <w:t>$4.00</w:t>
      </w:r>
      <w:r>
        <w:rPr>
          <w:rFonts w:cs="Times New Roman" w:ascii="Times New Roman" w:hAnsi="Times New Roman"/>
        </w:rPr>
        <w:t xml:space="preserve"> x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12 months</w:t>
      </w:r>
    </w:p>
    <w:p>
      <w:pPr>
        <w:pStyle w:val="A0b"/>
        <w:numPr>
          <w:ilvl w:val="0"/>
          <w:numId w:val="10"/>
        </w:numPr>
        <w:ind w:hanging="360" w:start="1800" w:end="0"/>
        <w:rPr>
          <w:rFonts w:ascii="Times New Roman" w:hAnsi="Times New Roman" w:cs="Times New Roman"/>
          <w:i/>
          <w:i/>
        </w:rPr>
      </w:pPr>
      <w:r>
        <w:rPr>
          <w:rFonts w:cs="Times New Roman" w:ascii="Times New Roman" w:hAnsi="Times New Roman"/>
          <w:b/>
        </w:rPr>
        <w:t>Energy Payments.</w:t>
      </w:r>
      <w:r>
        <w:rPr>
          <w:rFonts w:cs="Times New Roman" w:ascii="Times New Roman" w:hAnsi="Times New Roman"/>
        </w:rPr>
        <w:t xml:space="preserve">  Enron pays the Energy Payments which are calculated as follows:</w:t>
      </w:r>
    </w:p>
    <w:p>
      <w:pPr>
        <w:pStyle w:val="A0b"/>
        <w:numPr>
          <w:ilvl w:val="0"/>
          <w:numId w:val="0"/>
        </w:numPr>
        <w:ind w:firstLine="720" w:start="1440" w:end="0"/>
        <w:rPr/>
      </w:pPr>
      <w:r>
        <w:rPr>
          <w:rFonts w:cs="Times New Roman" w:ascii="Times New Roman" w:hAnsi="Times New Roman"/>
        </w:rPr>
        <w:t xml:space="preserve">Energy Payments = </w:t>
      </w:r>
      <w:r>
        <w:rPr>
          <w:rFonts w:cs="Times New Roman" w:ascii="Times New Roman" w:hAnsi="Times New Roman"/>
          <w:i/>
        </w:rPr>
        <w:t>Energy Charges</w:t>
      </w:r>
      <w:r>
        <w:rPr>
          <w:rFonts w:cs="Times New Roman" w:ascii="Times New Roman" w:hAnsi="Times New Roman"/>
        </w:rPr>
        <w:t xml:space="preserve"> x </w:t>
      </w:r>
      <w:r>
        <w:rPr>
          <w:rFonts w:cs="Times New Roman" w:ascii="Times New Roman" w:hAnsi="Times New Roman"/>
          <w:i/>
        </w:rPr>
        <w:t>Annual Generation</w:t>
      </w:r>
    </w:p>
    <w:p>
      <w:pPr>
        <w:pStyle w:val="A0b"/>
        <w:numPr>
          <w:ilvl w:val="0"/>
          <w:numId w:val="0"/>
        </w:numPr>
        <w:ind w:firstLine="720" w:start="1080" w:end="0"/>
        <w:rPr>
          <w:rFonts w:ascii="Times New Roman" w:hAnsi="Times New Roman" w:cs="Times New Roman"/>
        </w:rPr>
      </w:pPr>
      <w:r>
        <w:rPr>
          <w:rFonts w:cs="Times New Roman" w:ascii="Times New Roman" w:hAnsi="Times New Roman"/>
        </w:rPr>
        <w:t>Energy Charges are inflated at 3% per annum.</w:t>
      </w:r>
    </w:p>
    <w:p>
      <w:pPr>
        <w:pStyle w:val="A0b"/>
        <w:numPr>
          <w:ilvl w:val="0"/>
          <w:numId w:val="3"/>
        </w:numPr>
        <w:tabs>
          <w:tab w:val="clear" w:pos="720"/>
          <w:tab w:val="left" w:pos="1800" w:leader="none"/>
        </w:tabs>
        <w:ind w:hanging="360" w:start="1800" w:end="0"/>
        <w:rPr>
          <w:rFonts w:ascii="Times New Roman" w:hAnsi="Times New Roman" w:cs="Times New Roman"/>
        </w:rPr>
      </w:pPr>
      <w:r>
        <w:rPr>
          <w:rFonts w:cs="Times New Roman" w:ascii="Times New Roman" w:hAnsi="Times New Roman"/>
          <w:b/>
        </w:rPr>
        <w:t>Start Charges.</w:t>
      </w:r>
      <w:r>
        <w:rPr>
          <w:rFonts w:cs="Times New Roman" w:ascii="Times New Roman" w:hAnsi="Times New Roman"/>
        </w:rPr>
        <w:t xml:space="preserve">  Enron pays the Start Charges which are defined as follows: </w:t>
      </w:r>
    </w:p>
    <w:p>
      <w:pPr>
        <w:pStyle w:val="A0b"/>
        <w:numPr>
          <w:ilvl w:val="0"/>
          <w:numId w:val="0"/>
        </w:numPr>
        <w:ind w:hanging="0" w:start="2160" w:end="0"/>
        <w:rPr>
          <w:rFonts w:ascii="Times New Roman" w:hAnsi="Times New Roman" w:cs="Times New Roman"/>
        </w:rPr>
      </w:pPr>
      <w:r>
        <w:rPr>
          <w:rFonts w:cs="Times New Roman" w:ascii="Times New Roman" w:hAnsi="Times New Roman"/>
        </w:rPr>
        <w:t xml:space="preserve">Start Charges = </w:t>
      </w:r>
      <w:r>
        <w:rPr>
          <w:rFonts w:cs="Times New Roman" w:ascii="Times New Roman" w:hAnsi="Times New Roman"/>
          <w:i/>
        </w:rPr>
        <w:t>Start Charge ($/Turbine/Start)</w:t>
      </w:r>
      <w:r>
        <w:rPr>
          <w:rFonts w:cs="Times New Roman" w:ascii="Times New Roman" w:hAnsi="Times New Roman"/>
        </w:rPr>
        <w:t xml:space="preserve"> x </w:t>
      </w:r>
      <w:r>
        <w:rPr>
          <w:rFonts w:cs="Times New Roman" w:ascii="Times New Roman" w:hAnsi="Times New Roman"/>
          <w:i/>
        </w:rPr>
        <w:t>75 Starts x Number of Turbines</w:t>
      </w:r>
    </w:p>
    <w:p>
      <w:pPr>
        <w:pStyle w:val="BodyTextIndent2"/>
        <w:spacing w:before="120" w:after="0"/>
        <w:ind w:start="1800" w:end="0"/>
        <w:rPr>
          <w:rFonts w:ascii="Times New Roman" w:hAnsi="Times New Roman" w:cs="Times New Roman"/>
        </w:rPr>
      </w:pPr>
      <w:r>
        <w:rPr>
          <w:rFonts w:cs="Times New Roman" w:ascii="Times New Roman" w:hAnsi="Times New Roman"/>
        </w:rPr>
        <w:t xml:space="preserve">Start Charges escalate at 3% per annum. </w:t>
      </w:r>
    </w:p>
    <w:p>
      <w:pPr>
        <w:pStyle w:val="Sub0n"/>
        <w:ind w:start="1440" w:end="0"/>
        <w:rPr>
          <w:rFonts w:ascii="Times New Roman" w:hAnsi="Times New Roman" w:cs="Times New Roman"/>
        </w:rPr>
      </w:pPr>
      <w:r>
        <w:rPr>
          <w:rFonts w:cs="Times New Roman" w:ascii="Times New Roman" w:hAnsi="Times New Roman"/>
        </w:rPr>
        <w:t>2.</w:t>
        <w:tab/>
        <w:t>Merchant Price Period Operating Revenue Assumptions</w:t>
      </w:r>
    </w:p>
    <w:p>
      <w:pPr>
        <w:pStyle w:val="A0"/>
        <w:rPr/>
      </w:pPr>
      <w:r>
        <w:rPr>
          <w:rFonts w:cs="Times New Roman" w:ascii="Times New Roman" w:hAnsi="Times New Roman"/>
        </w:rPr>
        <w:t>The merchant price period extends from January 1, 2004 through December 31</w:t>
      </w:r>
      <w:r>
        <w:rPr>
          <w:rFonts w:cs="Times New Roman" w:ascii="Times New Roman" w:hAnsi="Times New Roman"/>
          <w:vertAlign w:val="superscript"/>
        </w:rPr>
        <w:t>st</w:t>
      </w:r>
      <w:r>
        <w:rPr>
          <w:rFonts w:cs="Times New Roman" w:ascii="Times New Roman" w:hAnsi="Times New Roman"/>
        </w:rPr>
        <w:t xml:space="preserve">, 2020 for all the 6 Plants.  Merchant capacity prices for the Plants have been independently assessed by ICF.  ICF has provided three capacity price forward curves for the Plants: the TVA curve for the Caledonia, New Albany, Brownsville and Gleason Plants; the Com Ed curve for the Wilton Center Plant; and the Southern ECAR curve for the Wheatland Plant.  The model adjusts ICF’s real capacity price projections to nominal values utilizing an inflation factor of 3%. </w:t>
      </w:r>
    </w:p>
    <w:p>
      <w:pPr>
        <w:pStyle w:val="A0"/>
        <w:numPr>
          <w:ilvl w:val="0"/>
          <w:numId w:val="13"/>
        </w:numPr>
        <w:tabs>
          <w:tab w:val="clear" w:pos="720"/>
          <w:tab w:val="left" w:pos="1800" w:leader="none"/>
        </w:tabs>
        <w:ind w:hanging="360" w:start="1800" w:end="0"/>
        <w:rPr>
          <w:rFonts w:ascii="Times New Roman" w:hAnsi="Times New Roman" w:cs="Times New Roman"/>
          <w:i/>
          <w:i/>
        </w:rPr>
      </w:pPr>
      <w:r>
        <w:rPr>
          <w:rFonts w:cs="Times New Roman" w:ascii="Times New Roman" w:hAnsi="Times New Roman"/>
          <w:b/>
        </w:rPr>
        <w:t>Demand Payments.</w:t>
      </w:r>
      <w:r>
        <w:rPr>
          <w:rFonts w:cs="Times New Roman" w:ascii="Times New Roman" w:hAnsi="Times New Roman"/>
        </w:rPr>
        <w:t xml:space="preserve">  Demand Payments are determined as follows:</w:t>
      </w:r>
    </w:p>
    <w:p>
      <w:pPr>
        <w:pStyle w:val="A0"/>
        <w:ind w:start="1800" w:end="0"/>
        <w:rPr/>
      </w:pPr>
      <w:r>
        <w:rPr>
          <w:rFonts w:cs="Times New Roman" w:ascii="Times New Roman" w:hAnsi="Times New Roman"/>
        </w:rPr>
        <w:t xml:space="preserve">Demand Payments =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 xml:space="preserve">ICF Base Case Capacity Price </w:t>
      </w:r>
      <w:r>
        <w:rPr>
          <w:rFonts w:cs="Times New Roman" w:ascii="Times New Roman" w:hAnsi="Times New Roman"/>
        </w:rPr>
        <w:t xml:space="preserve">x </w:t>
      </w:r>
      <w:r>
        <w:rPr>
          <w:rFonts w:cs="Times New Roman" w:ascii="Times New Roman" w:hAnsi="Times New Roman"/>
          <w:i/>
        </w:rPr>
        <w:t>12 months</w:t>
      </w:r>
    </w:p>
    <w:p>
      <w:pPr>
        <w:pStyle w:val="BodyTextIndent2"/>
        <w:spacing w:before="120" w:after="0"/>
        <w:ind w:start="1800" w:end="0"/>
        <w:rPr>
          <w:rFonts w:ascii="Times New Roman" w:hAnsi="Times New Roman" w:cs="Times New Roman"/>
        </w:rPr>
      </w:pPr>
      <w:r>
        <w:rPr>
          <w:rFonts w:cs="Times New Roman" w:ascii="Times New Roman" w:hAnsi="Times New Roman"/>
        </w:rPr>
        <w:t>ICF Base Case Capacity Prices are listed in the table below.</w:t>
      </w:r>
    </w:p>
    <w:p>
      <w:pPr>
        <w:pStyle w:val="BodyTextIndent2"/>
        <w:spacing w:before="120" w:after="0"/>
        <w:ind w:start="1800" w:end="0"/>
        <w:rPr>
          <w:rFonts w:ascii="Times New Roman" w:hAnsi="Times New Roman" w:cs="Times New Roman"/>
        </w:rPr>
      </w:pPr>
      <w:r>
        <w:rPr>
          <w:rFonts w:cs="Times New Roman" w:ascii="Times New Roman" w:hAnsi="Times New Roman"/>
        </w:rPr>
      </w:r>
    </w:p>
    <w:p>
      <w:pPr>
        <w:pStyle w:val="Ttl0"/>
        <w:keepNext w:val="true"/>
        <w:rPr>
          <w:rFonts w:ascii="Times New Roman" w:hAnsi="Times New Roman" w:cs="Times New Roman"/>
          <w:sz w:val="24"/>
        </w:rPr>
      </w:pPr>
      <w:r>
        <w:rPr>
          <w:rFonts w:cs="Times New Roman" w:ascii="Times New Roman" w:hAnsi="Times New Roman"/>
          <w:sz w:val="24"/>
        </w:rPr>
        <w:t>ICF Base Case Capacity Prices</w:t>
      </w:r>
    </w:p>
    <w:p>
      <w:pPr>
        <w:pStyle w:val="Tsl0"/>
        <w:spacing w:before="0" w:after="40"/>
        <w:rPr/>
      </w:pPr>
      <w:r>
        <w:rPr/>
        <w:t>(Nominal $/kW–month)</w:t>
      </w:r>
    </w:p>
    <w:tbl>
      <w:tblPr>
        <w:tblW w:w="9600" w:type="dxa"/>
        <w:jc w:val="start"/>
        <w:tblInd w:w="0" w:type="dxa"/>
        <w:tblLayout w:type="fixed"/>
        <w:tblCellMar>
          <w:top w:w="0" w:type="dxa"/>
          <w:start w:w="0" w:type="dxa"/>
          <w:bottom w:w="0" w:type="dxa"/>
          <w:end w:w="0" w:type="dxa"/>
        </w:tblCellMar>
      </w:tblPr>
      <w:tblGrid>
        <w:gridCol w:w="144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W w:w="1440" w:type="dxa"/>
            <w:tcBorders>
              <w:top w:val="single" w:sz="18" w:space="0" w:color="000000"/>
              <w:bottom w:val="single" w:sz="6" w:space="0" w:color="000000"/>
            </w:tcBorders>
          </w:tcPr>
          <w:p>
            <w:pPr>
              <w:pStyle w:val="Normal"/>
              <w:snapToGrid w:val="false"/>
              <w:spacing w:before="36" w:after="36"/>
              <w:rPr>
                <w:caps/>
                <w:sz w:val="14"/>
              </w:rPr>
            </w:pPr>
            <w:r>
              <w:rPr>
                <w:caps/>
                <w:sz w:val="14"/>
              </w:rPr>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2007</w:t>
            </w:r>
          </w:p>
        </w:tc>
        <w:tc>
          <w:tcPr>
            <w:tcW w:w="480" w:type="dxa"/>
            <w:tcBorders>
              <w:top w:val="single" w:sz="18" w:space="0" w:color="000000"/>
              <w:bottom w:val="single" w:sz="6" w:space="0" w:color="000000"/>
            </w:tcBorders>
          </w:tcPr>
          <w:p>
            <w:pPr>
              <w:pStyle w:val="TableHeadings"/>
              <w:tabs>
                <w:tab w:val="clear" w:pos="720"/>
                <w:tab w:val="decimal" w:pos="54" w:leader="none"/>
              </w:tabs>
              <w:spacing w:before="36" w:after="36"/>
              <w:rPr>
                <w:rFonts w:ascii="Times New Roman" w:hAnsi="Times New Roman" w:cs="Times New Roman"/>
                <w:sz w:val="14"/>
              </w:rPr>
            </w:pPr>
            <w:r>
              <w:rPr>
                <w:rFonts w:cs="Times New Roman" w:ascii="Times New Roman" w:hAnsi="Times New Roman"/>
                <w:sz w:val="14"/>
              </w:rPr>
              <w:t>2008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2010</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2011</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2012</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2013</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2017</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2020</w:t>
            </w:r>
          </w:p>
        </w:tc>
      </w:tr>
      <w:tr>
        <w:trPr/>
        <w:tc>
          <w:tcPr>
            <w:tcW w:w="1440" w:type="dxa"/>
            <w:tcBorders/>
          </w:tcPr>
          <w:p>
            <w:pPr>
              <w:pStyle w:val="Normal"/>
              <w:spacing w:before="216" w:after="36"/>
              <w:rPr>
                <w:sz w:val="16"/>
              </w:rPr>
            </w:pPr>
            <w:r>
              <w:rPr>
                <w:sz w:val="16"/>
              </w:rPr>
              <w:t>TVA</w:t>
            </w:r>
          </w:p>
        </w:tc>
        <w:tc>
          <w:tcPr>
            <w:tcW w:w="480" w:type="dxa"/>
            <w:tcBorders/>
          </w:tcPr>
          <w:p>
            <w:pPr>
              <w:pStyle w:val="Normal"/>
              <w:tabs>
                <w:tab w:val="clear" w:pos="720"/>
                <w:tab w:val="decimal" w:pos="144" w:leader="none"/>
              </w:tabs>
              <w:spacing w:before="216" w:after="36"/>
              <w:rPr>
                <w:sz w:val="16"/>
              </w:rPr>
            </w:pPr>
            <w:r>
              <w:rPr>
                <w:sz w:val="16"/>
              </w:rPr>
              <w:t>6.42</w:t>
            </w:r>
          </w:p>
        </w:tc>
        <w:tc>
          <w:tcPr>
            <w:tcW w:w="480" w:type="dxa"/>
            <w:tcBorders/>
          </w:tcPr>
          <w:p>
            <w:pPr>
              <w:pStyle w:val="Normal"/>
              <w:tabs>
                <w:tab w:val="clear" w:pos="720"/>
                <w:tab w:val="decimal" w:pos="144" w:leader="none"/>
              </w:tabs>
              <w:spacing w:before="216" w:after="36"/>
              <w:rPr>
                <w:sz w:val="16"/>
              </w:rPr>
            </w:pPr>
            <w:r>
              <w:rPr>
                <w:sz w:val="16"/>
              </w:rPr>
              <w:t>6.74</w:t>
            </w:r>
          </w:p>
        </w:tc>
        <w:tc>
          <w:tcPr>
            <w:tcW w:w="480" w:type="dxa"/>
            <w:tcBorders/>
          </w:tcPr>
          <w:p>
            <w:pPr>
              <w:pStyle w:val="Normal"/>
              <w:tabs>
                <w:tab w:val="clear" w:pos="720"/>
                <w:tab w:val="decimal" w:pos="144" w:leader="none"/>
              </w:tabs>
              <w:spacing w:before="216" w:after="36"/>
              <w:rPr>
                <w:sz w:val="16"/>
              </w:rPr>
            </w:pPr>
            <w:r>
              <w:rPr>
                <w:sz w:val="16"/>
              </w:rPr>
              <w:t>6.82</w:t>
            </w:r>
          </w:p>
        </w:tc>
        <w:tc>
          <w:tcPr>
            <w:tcW w:w="480" w:type="dxa"/>
            <w:tcBorders/>
          </w:tcPr>
          <w:p>
            <w:pPr>
              <w:pStyle w:val="Normal"/>
              <w:tabs>
                <w:tab w:val="clear" w:pos="720"/>
                <w:tab w:val="decimal" w:pos="144" w:leader="none"/>
              </w:tabs>
              <w:spacing w:before="216" w:after="36"/>
              <w:rPr>
                <w:sz w:val="16"/>
              </w:rPr>
            </w:pPr>
            <w:r>
              <w:rPr>
                <w:sz w:val="16"/>
              </w:rPr>
              <w:t>6.91</w:t>
            </w:r>
          </w:p>
        </w:tc>
        <w:tc>
          <w:tcPr>
            <w:tcW w:w="480" w:type="dxa"/>
            <w:tcBorders/>
          </w:tcPr>
          <w:p>
            <w:pPr>
              <w:pStyle w:val="Normal"/>
              <w:tabs>
                <w:tab w:val="clear" w:pos="720"/>
                <w:tab w:val="decimal" w:pos="144" w:leader="none"/>
              </w:tabs>
              <w:spacing w:before="216" w:after="36"/>
              <w:rPr>
                <w:sz w:val="16"/>
              </w:rPr>
            </w:pPr>
            <w:r>
              <w:rPr>
                <w:sz w:val="16"/>
              </w:rPr>
              <w:t>7.00</w:t>
            </w:r>
          </w:p>
        </w:tc>
        <w:tc>
          <w:tcPr>
            <w:tcW w:w="480" w:type="dxa"/>
            <w:tcBorders/>
          </w:tcPr>
          <w:p>
            <w:pPr>
              <w:pStyle w:val="Normal"/>
              <w:tabs>
                <w:tab w:val="clear" w:pos="720"/>
                <w:tab w:val="decimal" w:pos="144" w:leader="none"/>
              </w:tabs>
              <w:spacing w:before="216" w:after="36"/>
              <w:rPr>
                <w:sz w:val="16"/>
              </w:rPr>
            </w:pPr>
            <w:r>
              <w:rPr>
                <w:sz w:val="16"/>
              </w:rPr>
              <w:t>7.09</w:t>
            </w:r>
          </w:p>
        </w:tc>
        <w:tc>
          <w:tcPr>
            <w:tcW w:w="480" w:type="dxa"/>
            <w:tcBorders/>
          </w:tcPr>
          <w:p>
            <w:pPr>
              <w:pStyle w:val="Normal"/>
              <w:tabs>
                <w:tab w:val="clear" w:pos="720"/>
                <w:tab w:val="decimal" w:pos="144" w:leader="none"/>
              </w:tabs>
              <w:spacing w:before="216" w:after="36"/>
              <w:rPr>
                <w:sz w:val="16"/>
              </w:rPr>
            </w:pPr>
            <w:r>
              <w:rPr>
                <w:sz w:val="16"/>
              </w:rPr>
              <w:t>7.18</w:t>
            </w:r>
          </w:p>
        </w:tc>
        <w:tc>
          <w:tcPr>
            <w:tcW w:w="480" w:type="dxa"/>
            <w:tcBorders/>
          </w:tcPr>
          <w:p>
            <w:pPr>
              <w:pStyle w:val="Normal"/>
              <w:tabs>
                <w:tab w:val="clear" w:pos="720"/>
                <w:tab w:val="decimal" w:pos="144" w:leader="none"/>
              </w:tabs>
              <w:spacing w:before="216" w:after="36"/>
              <w:rPr>
                <w:sz w:val="16"/>
              </w:rPr>
            </w:pPr>
            <w:r>
              <w:rPr>
                <w:sz w:val="16"/>
              </w:rPr>
              <w:t>7.32</w:t>
            </w:r>
          </w:p>
        </w:tc>
        <w:tc>
          <w:tcPr>
            <w:tcW w:w="480" w:type="dxa"/>
            <w:tcBorders/>
          </w:tcPr>
          <w:p>
            <w:pPr>
              <w:pStyle w:val="Normal"/>
              <w:tabs>
                <w:tab w:val="clear" w:pos="720"/>
                <w:tab w:val="decimal" w:pos="144" w:leader="none"/>
              </w:tabs>
              <w:spacing w:before="216" w:after="36"/>
              <w:rPr>
                <w:sz w:val="16"/>
              </w:rPr>
            </w:pPr>
            <w:r>
              <w:rPr>
                <w:sz w:val="16"/>
              </w:rPr>
              <w:t>7.46</w:t>
            </w:r>
          </w:p>
        </w:tc>
        <w:tc>
          <w:tcPr>
            <w:tcW w:w="480" w:type="dxa"/>
            <w:tcBorders/>
          </w:tcPr>
          <w:p>
            <w:pPr>
              <w:pStyle w:val="Normal"/>
              <w:tabs>
                <w:tab w:val="clear" w:pos="720"/>
                <w:tab w:val="decimal" w:pos="144" w:leader="none"/>
              </w:tabs>
              <w:spacing w:before="216" w:after="36"/>
              <w:rPr>
                <w:sz w:val="16"/>
              </w:rPr>
            </w:pPr>
            <w:r>
              <w:rPr>
                <w:sz w:val="16"/>
              </w:rPr>
              <w:t>7.60</w:t>
            </w:r>
          </w:p>
        </w:tc>
        <w:tc>
          <w:tcPr>
            <w:tcW w:w="480" w:type="dxa"/>
            <w:tcBorders/>
          </w:tcPr>
          <w:p>
            <w:pPr>
              <w:pStyle w:val="Normal"/>
              <w:tabs>
                <w:tab w:val="clear" w:pos="720"/>
                <w:tab w:val="decimal" w:pos="144" w:leader="none"/>
              </w:tabs>
              <w:spacing w:before="216" w:after="36"/>
              <w:rPr>
                <w:sz w:val="16"/>
              </w:rPr>
            </w:pPr>
            <w:r>
              <w:rPr>
                <w:sz w:val="16"/>
              </w:rPr>
              <w:t>7.74</w:t>
            </w:r>
          </w:p>
        </w:tc>
        <w:tc>
          <w:tcPr>
            <w:tcW w:w="480" w:type="dxa"/>
            <w:tcBorders/>
          </w:tcPr>
          <w:p>
            <w:pPr>
              <w:pStyle w:val="Normal"/>
              <w:tabs>
                <w:tab w:val="clear" w:pos="720"/>
                <w:tab w:val="decimal" w:pos="144" w:leader="none"/>
              </w:tabs>
              <w:spacing w:before="216" w:after="36"/>
              <w:rPr>
                <w:sz w:val="16"/>
              </w:rPr>
            </w:pPr>
            <w:r>
              <w:rPr>
                <w:sz w:val="16"/>
              </w:rPr>
              <w:t>7.89</w:t>
            </w:r>
          </w:p>
        </w:tc>
        <w:tc>
          <w:tcPr>
            <w:tcW w:w="480" w:type="dxa"/>
            <w:tcBorders/>
          </w:tcPr>
          <w:p>
            <w:pPr>
              <w:pStyle w:val="Normal"/>
              <w:tabs>
                <w:tab w:val="clear" w:pos="720"/>
                <w:tab w:val="decimal" w:pos="144" w:leader="none"/>
              </w:tabs>
              <w:spacing w:before="216" w:after="36"/>
              <w:rPr>
                <w:sz w:val="16"/>
              </w:rPr>
            </w:pPr>
            <w:r>
              <w:rPr>
                <w:sz w:val="16"/>
              </w:rPr>
              <w:t>8.00</w:t>
            </w:r>
          </w:p>
        </w:tc>
        <w:tc>
          <w:tcPr>
            <w:tcW w:w="480" w:type="dxa"/>
            <w:tcBorders/>
          </w:tcPr>
          <w:p>
            <w:pPr>
              <w:pStyle w:val="Normal"/>
              <w:tabs>
                <w:tab w:val="clear" w:pos="720"/>
                <w:tab w:val="decimal" w:pos="144" w:leader="none"/>
              </w:tabs>
              <w:spacing w:before="216" w:after="36"/>
              <w:rPr>
                <w:sz w:val="16"/>
              </w:rPr>
            </w:pPr>
            <w:r>
              <w:rPr>
                <w:sz w:val="16"/>
              </w:rPr>
              <w:t>8.11</w:t>
            </w:r>
          </w:p>
        </w:tc>
        <w:tc>
          <w:tcPr>
            <w:tcW w:w="480" w:type="dxa"/>
            <w:tcBorders/>
          </w:tcPr>
          <w:p>
            <w:pPr>
              <w:pStyle w:val="Normal"/>
              <w:tabs>
                <w:tab w:val="clear" w:pos="720"/>
                <w:tab w:val="decimal" w:pos="144" w:leader="none"/>
              </w:tabs>
              <w:spacing w:before="216" w:after="36"/>
              <w:rPr>
                <w:sz w:val="16"/>
              </w:rPr>
            </w:pPr>
            <w:r>
              <w:rPr>
                <w:sz w:val="16"/>
              </w:rPr>
              <w:t>8.23</w:t>
            </w:r>
          </w:p>
        </w:tc>
        <w:tc>
          <w:tcPr>
            <w:tcW w:w="480" w:type="dxa"/>
            <w:tcBorders/>
          </w:tcPr>
          <w:p>
            <w:pPr>
              <w:pStyle w:val="Normal"/>
              <w:tabs>
                <w:tab w:val="clear" w:pos="720"/>
                <w:tab w:val="decimal" w:pos="144" w:leader="none"/>
              </w:tabs>
              <w:spacing w:before="216" w:after="36"/>
              <w:rPr>
                <w:sz w:val="16"/>
              </w:rPr>
            </w:pPr>
            <w:r>
              <w:rPr>
                <w:sz w:val="16"/>
              </w:rPr>
              <w:t>8.35</w:t>
            </w:r>
          </w:p>
        </w:tc>
        <w:tc>
          <w:tcPr>
            <w:tcW w:w="480" w:type="dxa"/>
            <w:tcBorders/>
          </w:tcPr>
          <w:p>
            <w:pPr>
              <w:pStyle w:val="Normal"/>
              <w:tabs>
                <w:tab w:val="clear" w:pos="720"/>
                <w:tab w:val="decimal" w:pos="144" w:leader="none"/>
              </w:tabs>
              <w:spacing w:before="216" w:after="36"/>
              <w:rPr>
                <w:sz w:val="16"/>
              </w:rPr>
            </w:pPr>
            <w:r>
              <w:rPr>
                <w:sz w:val="16"/>
              </w:rPr>
              <w:t>8.47</w:t>
            </w:r>
          </w:p>
        </w:tc>
      </w:tr>
      <w:tr>
        <w:trPr/>
        <w:tc>
          <w:tcPr>
            <w:tcW w:w="1440" w:type="dxa"/>
            <w:tcBorders/>
          </w:tcPr>
          <w:p>
            <w:pPr>
              <w:pStyle w:val="Normal"/>
              <w:spacing w:before="216" w:after="36"/>
              <w:rPr>
                <w:sz w:val="16"/>
              </w:rPr>
            </w:pPr>
            <w:r>
              <w:rPr>
                <w:sz w:val="16"/>
              </w:rPr>
              <w:t xml:space="preserve">Southern ECAR </w:t>
            </w:r>
          </w:p>
        </w:tc>
        <w:tc>
          <w:tcPr>
            <w:tcW w:w="480" w:type="dxa"/>
            <w:tcBorders/>
          </w:tcPr>
          <w:p>
            <w:pPr>
              <w:pStyle w:val="Normal"/>
              <w:tabs>
                <w:tab w:val="clear" w:pos="720"/>
                <w:tab w:val="decimal" w:pos="144" w:leader="none"/>
              </w:tabs>
              <w:spacing w:before="216" w:after="36"/>
              <w:rPr>
                <w:sz w:val="16"/>
              </w:rPr>
            </w:pPr>
            <w:r>
              <w:rPr>
                <w:sz w:val="16"/>
              </w:rPr>
              <w:t>6.77</w:t>
            </w:r>
          </w:p>
        </w:tc>
        <w:tc>
          <w:tcPr>
            <w:tcW w:w="480" w:type="dxa"/>
            <w:tcBorders/>
          </w:tcPr>
          <w:p>
            <w:pPr>
              <w:pStyle w:val="Normal"/>
              <w:tabs>
                <w:tab w:val="clear" w:pos="720"/>
                <w:tab w:val="decimal" w:pos="144" w:leader="none"/>
              </w:tabs>
              <w:spacing w:before="216" w:after="36"/>
              <w:rPr>
                <w:sz w:val="16"/>
              </w:rPr>
            </w:pPr>
            <w:r>
              <w:rPr>
                <w:sz w:val="16"/>
              </w:rPr>
              <w:t>7.13</w:t>
            </w:r>
          </w:p>
        </w:tc>
        <w:tc>
          <w:tcPr>
            <w:tcW w:w="480" w:type="dxa"/>
            <w:tcBorders/>
          </w:tcPr>
          <w:p>
            <w:pPr>
              <w:pStyle w:val="Normal"/>
              <w:tabs>
                <w:tab w:val="clear" w:pos="720"/>
                <w:tab w:val="decimal" w:pos="144" w:leader="none"/>
              </w:tabs>
              <w:spacing w:before="216" w:after="36"/>
              <w:rPr>
                <w:sz w:val="16"/>
              </w:rPr>
            </w:pPr>
            <w:r>
              <w:rPr>
                <w:sz w:val="16"/>
              </w:rPr>
              <w:t>7.27</w:t>
            </w:r>
          </w:p>
        </w:tc>
        <w:tc>
          <w:tcPr>
            <w:tcW w:w="480" w:type="dxa"/>
            <w:tcBorders/>
          </w:tcPr>
          <w:p>
            <w:pPr>
              <w:pStyle w:val="Normal"/>
              <w:tabs>
                <w:tab w:val="clear" w:pos="720"/>
                <w:tab w:val="decimal" w:pos="144" w:leader="none"/>
              </w:tabs>
              <w:spacing w:before="216" w:after="36"/>
              <w:rPr>
                <w:sz w:val="16"/>
              </w:rPr>
            </w:pPr>
            <w:r>
              <w:rPr>
                <w:sz w:val="16"/>
              </w:rPr>
              <w:t>7.42</w:t>
            </w:r>
          </w:p>
        </w:tc>
        <w:tc>
          <w:tcPr>
            <w:tcW w:w="480" w:type="dxa"/>
            <w:tcBorders/>
          </w:tcPr>
          <w:p>
            <w:pPr>
              <w:pStyle w:val="Normal"/>
              <w:tabs>
                <w:tab w:val="clear" w:pos="720"/>
                <w:tab w:val="decimal" w:pos="144" w:leader="none"/>
              </w:tabs>
              <w:spacing w:before="216" w:after="36"/>
              <w:rPr>
                <w:sz w:val="16"/>
              </w:rPr>
            </w:pPr>
            <w:r>
              <w:rPr>
                <w:sz w:val="16"/>
              </w:rPr>
              <w:t>7.57</w:t>
            </w:r>
          </w:p>
        </w:tc>
        <w:tc>
          <w:tcPr>
            <w:tcW w:w="480" w:type="dxa"/>
            <w:tcBorders/>
          </w:tcPr>
          <w:p>
            <w:pPr>
              <w:pStyle w:val="Normal"/>
              <w:tabs>
                <w:tab w:val="clear" w:pos="720"/>
                <w:tab w:val="decimal" w:pos="144" w:leader="none"/>
              </w:tabs>
              <w:spacing w:before="216" w:after="36"/>
              <w:rPr>
                <w:sz w:val="16"/>
              </w:rPr>
            </w:pPr>
            <w:r>
              <w:rPr>
                <w:sz w:val="16"/>
              </w:rPr>
              <w:t>7.73</w:t>
            </w:r>
          </w:p>
        </w:tc>
        <w:tc>
          <w:tcPr>
            <w:tcW w:w="480" w:type="dxa"/>
            <w:tcBorders/>
          </w:tcPr>
          <w:p>
            <w:pPr>
              <w:pStyle w:val="Normal"/>
              <w:tabs>
                <w:tab w:val="clear" w:pos="720"/>
                <w:tab w:val="decimal" w:pos="144" w:leader="none"/>
              </w:tabs>
              <w:spacing w:before="216" w:after="36"/>
              <w:rPr>
                <w:sz w:val="16"/>
              </w:rPr>
            </w:pPr>
            <w:r>
              <w:rPr>
                <w:sz w:val="16"/>
              </w:rPr>
              <w:t>7.88</w:t>
            </w:r>
          </w:p>
        </w:tc>
        <w:tc>
          <w:tcPr>
            <w:tcW w:w="480" w:type="dxa"/>
            <w:tcBorders/>
          </w:tcPr>
          <w:p>
            <w:pPr>
              <w:pStyle w:val="Normal"/>
              <w:tabs>
                <w:tab w:val="clear" w:pos="720"/>
                <w:tab w:val="decimal" w:pos="144" w:leader="none"/>
              </w:tabs>
              <w:spacing w:before="216" w:after="36"/>
              <w:rPr>
                <w:sz w:val="16"/>
              </w:rPr>
            </w:pPr>
            <w:r>
              <w:rPr>
                <w:sz w:val="16"/>
              </w:rPr>
              <w:t>7.98</w:t>
            </w:r>
          </w:p>
        </w:tc>
        <w:tc>
          <w:tcPr>
            <w:tcW w:w="480" w:type="dxa"/>
            <w:tcBorders/>
          </w:tcPr>
          <w:p>
            <w:pPr>
              <w:pStyle w:val="Normal"/>
              <w:tabs>
                <w:tab w:val="clear" w:pos="720"/>
                <w:tab w:val="decimal" w:pos="144" w:leader="none"/>
              </w:tabs>
              <w:spacing w:before="216" w:after="36"/>
              <w:rPr>
                <w:sz w:val="16"/>
              </w:rPr>
            </w:pPr>
            <w:r>
              <w:rPr>
                <w:sz w:val="16"/>
              </w:rPr>
              <w:t>8.09</w:t>
            </w:r>
          </w:p>
        </w:tc>
        <w:tc>
          <w:tcPr>
            <w:tcW w:w="480" w:type="dxa"/>
            <w:tcBorders/>
          </w:tcPr>
          <w:p>
            <w:pPr>
              <w:pStyle w:val="Normal"/>
              <w:tabs>
                <w:tab w:val="clear" w:pos="720"/>
                <w:tab w:val="decimal" w:pos="144" w:leader="none"/>
              </w:tabs>
              <w:spacing w:before="216" w:after="36"/>
              <w:rPr>
                <w:sz w:val="16"/>
              </w:rPr>
            </w:pPr>
            <w:r>
              <w:rPr>
                <w:sz w:val="16"/>
              </w:rPr>
              <w:t>8.19</w:t>
            </w:r>
          </w:p>
        </w:tc>
        <w:tc>
          <w:tcPr>
            <w:tcW w:w="480" w:type="dxa"/>
            <w:tcBorders/>
          </w:tcPr>
          <w:p>
            <w:pPr>
              <w:pStyle w:val="Normal"/>
              <w:tabs>
                <w:tab w:val="clear" w:pos="720"/>
                <w:tab w:val="decimal" w:pos="144" w:leader="none"/>
              </w:tabs>
              <w:spacing w:before="216" w:after="36"/>
              <w:rPr>
                <w:sz w:val="16"/>
              </w:rPr>
            </w:pPr>
            <w:r>
              <w:rPr>
                <w:sz w:val="16"/>
              </w:rPr>
              <w:t>8.30</w:t>
            </w:r>
          </w:p>
        </w:tc>
        <w:tc>
          <w:tcPr>
            <w:tcW w:w="480" w:type="dxa"/>
            <w:tcBorders/>
          </w:tcPr>
          <w:p>
            <w:pPr>
              <w:pStyle w:val="Normal"/>
              <w:tabs>
                <w:tab w:val="clear" w:pos="720"/>
                <w:tab w:val="decimal" w:pos="144" w:leader="none"/>
              </w:tabs>
              <w:spacing w:before="216" w:after="36"/>
              <w:rPr>
                <w:sz w:val="16"/>
              </w:rPr>
            </w:pPr>
            <w:r>
              <w:rPr>
                <w:sz w:val="16"/>
              </w:rPr>
              <w:t>8.40</w:t>
            </w:r>
          </w:p>
        </w:tc>
        <w:tc>
          <w:tcPr>
            <w:tcW w:w="480" w:type="dxa"/>
            <w:tcBorders/>
          </w:tcPr>
          <w:p>
            <w:pPr>
              <w:pStyle w:val="Normal"/>
              <w:tabs>
                <w:tab w:val="clear" w:pos="720"/>
                <w:tab w:val="decimal" w:pos="144" w:leader="none"/>
              </w:tabs>
              <w:spacing w:before="216" w:after="36"/>
              <w:rPr>
                <w:sz w:val="16"/>
              </w:rPr>
            </w:pPr>
            <w:r>
              <w:rPr>
                <w:sz w:val="16"/>
              </w:rPr>
              <w:t>8.53</w:t>
            </w:r>
          </w:p>
        </w:tc>
        <w:tc>
          <w:tcPr>
            <w:tcW w:w="480" w:type="dxa"/>
            <w:tcBorders/>
          </w:tcPr>
          <w:p>
            <w:pPr>
              <w:pStyle w:val="Normal"/>
              <w:tabs>
                <w:tab w:val="clear" w:pos="720"/>
                <w:tab w:val="decimal" w:pos="144" w:leader="none"/>
              </w:tabs>
              <w:spacing w:before="216" w:after="36"/>
              <w:rPr>
                <w:sz w:val="16"/>
              </w:rPr>
            </w:pPr>
            <w:r>
              <w:rPr>
                <w:sz w:val="16"/>
              </w:rPr>
              <w:t>8.66</w:t>
            </w:r>
          </w:p>
        </w:tc>
        <w:tc>
          <w:tcPr>
            <w:tcW w:w="480" w:type="dxa"/>
            <w:tcBorders/>
          </w:tcPr>
          <w:p>
            <w:pPr>
              <w:pStyle w:val="Normal"/>
              <w:tabs>
                <w:tab w:val="clear" w:pos="720"/>
                <w:tab w:val="decimal" w:pos="144" w:leader="none"/>
              </w:tabs>
              <w:spacing w:before="216" w:after="36"/>
              <w:rPr>
                <w:sz w:val="16"/>
              </w:rPr>
            </w:pPr>
            <w:r>
              <w:rPr>
                <w:sz w:val="16"/>
              </w:rPr>
              <w:t>8.79</w:t>
            </w:r>
          </w:p>
        </w:tc>
        <w:tc>
          <w:tcPr>
            <w:tcW w:w="480" w:type="dxa"/>
            <w:tcBorders/>
          </w:tcPr>
          <w:p>
            <w:pPr>
              <w:pStyle w:val="Normal"/>
              <w:tabs>
                <w:tab w:val="clear" w:pos="720"/>
                <w:tab w:val="decimal" w:pos="144" w:leader="none"/>
              </w:tabs>
              <w:spacing w:before="216" w:after="36"/>
              <w:rPr>
                <w:sz w:val="16"/>
              </w:rPr>
            </w:pPr>
            <w:r>
              <w:rPr>
                <w:sz w:val="16"/>
              </w:rPr>
              <w:t>8.92</w:t>
            </w:r>
          </w:p>
        </w:tc>
        <w:tc>
          <w:tcPr>
            <w:tcW w:w="480" w:type="dxa"/>
            <w:tcBorders/>
          </w:tcPr>
          <w:p>
            <w:pPr>
              <w:pStyle w:val="Normal"/>
              <w:tabs>
                <w:tab w:val="clear" w:pos="720"/>
                <w:tab w:val="decimal" w:pos="144" w:leader="none"/>
              </w:tabs>
              <w:spacing w:before="216" w:after="36"/>
              <w:rPr>
                <w:sz w:val="16"/>
              </w:rPr>
            </w:pPr>
            <w:r>
              <w:rPr>
                <w:sz w:val="16"/>
              </w:rPr>
              <w:t>9.06</w:t>
            </w:r>
          </w:p>
        </w:tc>
      </w:tr>
      <w:tr>
        <w:trPr/>
        <w:tc>
          <w:tcPr>
            <w:tcW w:w="1440" w:type="dxa"/>
            <w:tcBorders>
              <w:bottom w:val="single" w:sz="4" w:space="0" w:color="000000"/>
            </w:tcBorders>
          </w:tcPr>
          <w:p>
            <w:pPr>
              <w:pStyle w:val="Normal"/>
              <w:spacing w:before="216" w:after="36"/>
              <w:rPr>
                <w:sz w:val="16"/>
              </w:rPr>
            </w:pPr>
            <w:r>
              <w:rPr>
                <w:sz w:val="16"/>
              </w:rPr>
              <w:t>Com Ed</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6.70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7.01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7.15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7.30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7.45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7.60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7.75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7.90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8.06</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8.21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8.38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8.54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8.67</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8.81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8.94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9.08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9.22</w:t>
            </w:r>
          </w:p>
        </w:tc>
      </w:tr>
    </w:tbl>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6"/>
        </w:numPr>
        <w:tabs>
          <w:tab w:val="clear" w:pos="720"/>
          <w:tab w:val="left" w:pos="1710" w:leader="none"/>
        </w:tabs>
        <w:ind w:hanging="360" w:start="1800" w:end="0"/>
        <w:rPr>
          <w:rFonts w:ascii="Times New Roman" w:hAnsi="Times New Roman" w:cs="Times New Roman"/>
        </w:rPr>
      </w:pPr>
      <w:r>
        <w:rPr>
          <w:rFonts w:cs="Times New Roman" w:ascii="Times New Roman" w:hAnsi="Times New Roman"/>
          <w:b/>
        </w:rPr>
        <w:t>Variable Revenues.</w:t>
      </w:r>
      <w:r>
        <w:rPr>
          <w:rFonts w:cs="Times New Roman" w:ascii="Times New Roman" w:hAnsi="Times New Roman"/>
        </w:rPr>
        <w:t xml:space="preserve">  Variable Revenues are calculated as follows:</w:t>
      </w:r>
    </w:p>
    <w:p>
      <w:pPr>
        <w:pStyle w:val="Normal"/>
        <w:ind w:start="1800" w:end="0"/>
        <w:rPr/>
      </w:pPr>
      <w:r>
        <w:rPr/>
        <w:t>Variable Revenues = [</w:t>
      </w:r>
      <w:r>
        <w:rPr>
          <w:i/>
        </w:rPr>
        <w:t>(1/3)</w:t>
      </w:r>
      <w:r>
        <w:rPr/>
        <w:t xml:space="preserve"> x </w:t>
      </w:r>
      <w:r>
        <w:rPr>
          <w:i/>
        </w:rPr>
        <w:t>Start Charge ($/Turbine/Start</w:t>
      </w:r>
      <w:r>
        <w:rPr/>
        <w:t xml:space="preserve"> x 75</w:t>
      </w:r>
      <w:r>
        <w:rPr>
          <w:i/>
        </w:rPr>
        <w:t xml:space="preserve"> Starts Per Year</w:t>
      </w:r>
      <w:r>
        <w:rPr/>
        <w:t xml:space="preserve"> x </w:t>
      </w:r>
      <w:r>
        <w:rPr>
          <w:i/>
        </w:rPr>
        <w:t>Number of Turbines</w:t>
      </w:r>
      <w:r>
        <w:rPr/>
        <w:t>] + [</w:t>
      </w:r>
      <w:r>
        <w:rPr>
          <w:i/>
        </w:rPr>
        <w:t>Energy Charge</w:t>
      </w:r>
      <w:r>
        <w:rPr/>
        <w:t xml:space="preserve"> x </w:t>
      </w:r>
      <w:r>
        <w:rPr>
          <w:i/>
        </w:rPr>
        <w:t>Annual Generation</w:t>
      </w:r>
      <w:r>
        <w:rPr/>
        <w:t>]</w:t>
      </w:r>
    </w:p>
    <w:p>
      <w:pPr>
        <w:pStyle w:val="BodyTextIndent2"/>
        <w:spacing w:before="120" w:after="0"/>
        <w:ind w:start="1800" w:end="0"/>
        <w:rPr>
          <w:rFonts w:ascii="Times New Roman" w:hAnsi="Times New Roman" w:cs="Times New Roman"/>
        </w:rPr>
      </w:pPr>
      <w:r>
        <w:rPr>
          <w:rFonts w:cs="Times New Roman" w:ascii="Times New Roman" w:hAnsi="Times New Roman"/>
        </w:rPr>
        <w:t>Only a third of the Start Charges are additional revenues, as ICF’s capacity price projections have 2/3 of the value of major maintenance costs embedded as a fixed value.  Start Charges are inflated at 3% per annum.</w:t>
      </w:r>
    </w:p>
    <w:p>
      <w:pPr>
        <w:pStyle w:val="BodyTextIndent2"/>
        <w:spacing w:before="120" w:after="0"/>
        <w:ind w:firstLine="720" w:start="1080" w:end="0"/>
        <w:rPr>
          <w:rFonts w:ascii="Times New Roman" w:hAnsi="Times New Roman" w:cs="Times New Roman"/>
        </w:rPr>
      </w:pPr>
      <w:r>
        <w:rPr>
          <w:rFonts w:cs="Times New Roman" w:ascii="Times New Roman" w:hAnsi="Times New Roman"/>
        </w:rPr>
        <w:t>Energy Charges are escalated at 3% per annum.</w:t>
      </w:r>
    </w:p>
    <w:p>
      <w:pPr>
        <w:pStyle w:val="BodyTextIndent2"/>
        <w:numPr>
          <w:ilvl w:val="0"/>
          <w:numId w:val="24"/>
        </w:numPr>
        <w:tabs>
          <w:tab w:val="clear" w:pos="720"/>
          <w:tab w:val="left" w:pos="1710" w:leader="none"/>
        </w:tabs>
        <w:spacing w:before="120" w:after="0"/>
        <w:ind w:hanging="360" w:start="1800" w:end="0"/>
        <w:rPr>
          <w:rFonts w:ascii="Times New Roman" w:hAnsi="Times New Roman" w:cs="Times New Roman"/>
        </w:rPr>
      </w:pPr>
      <w:r>
        <w:rPr>
          <w:rFonts w:cs="Times New Roman" w:ascii="Times New Roman" w:hAnsi="Times New Roman"/>
          <w:b/>
        </w:rPr>
        <w:t>Amortization of Power Contract.</w:t>
      </w:r>
      <w:r>
        <w:rPr>
          <w:rFonts w:cs="Times New Roman" w:ascii="Times New Roman" w:hAnsi="Times New Roman"/>
        </w:rPr>
        <w:t xml:space="preserve">  The Power Contract Liability is amortized on a straight-line schedule over the Fixed Price Period.</w:t>
      </w:r>
    </w:p>
    <w:p>
      <w:pPr>
        <w:pStyle w:val="Sub0n"/>
        <w:ind w:start="1440" w:end="0"/>
        <w:rPr>
          <w:rFonts w:ascii="Times New Roman" w:hAnsi="Times New Roman" w:cs="Times New Roman"/>
        </w:rPr>
      </w:pPr>
      <w:r>
        <w:rPr>
          <w:rFonts w:cs="Times New Roman" w:ascii="Times New Roman" w:hAnsi="Times New Roman"/>
        </w:rPr>
        <w:t>3.</w:t>
        <w:tab/>
        <w:t xml:space="preserve">Interest Income </w:t>
      </w:r>
    </w:p>
    <w:p>
      <w:pPr>
        <w:pStyle w:val="A0"/>
        <w:rPr>
          <w:rFonts w:ascii="Times New Roman" w:hAnsi="Times New Roman" w:cs="Times New Roman"/>
        </w:rPr>
      </w:pPr>
      <w:r>
        <w:rPr>
          <w:rFonts w:cs="Times New Roman" w:ascii="Times New Roman" w:hAnsi="Times New Roman"/>
        </w:rPr>
        <w:t>Interest income on cash balances, based on 25% of annual EBITDA (less Amortization of Power Contract), has been included in the revenues.  The model assumes an interest rate of 5% per annum.</w:t>
      </w:r>
    </w:p>
    <w:p>
      <w:pPr>
        <w:pStyle w:val="Sub0n"/>
        <w:tabs>
          <w:tab w:val="clear" w:pos="720"/>
          <w:tab w:val="left" w:pos="1440" w:leader="none"/>
        </w:tabs>
        <w:ind w:hanging="720" w:start="1440" w:end="0"/>
        <w:rPr>
          <w:rFonts w:ascii="Times New Roman" w:hAnsi="Times New Roman" w:cs="Times New Roman"/>
        </w:rPr>
      </w:pPr>
      <w:r>
        <w:rPr>
          <w:rFonts w:cs="Times New Roman" w:ascii="Times New Roman" w:hAnsi="Times New Roman"/>
        </w:rPr>
        <w:t>C.</w:t>
        <w:tab/>
        <w:t>Operating Costs Assumptions</w:t>
      </w:r>
    </w:p>
    <w:p>
      <w:pPr>
        <w:pStyle w:val="A0b"/>
        <w:numPr>
          <w:ilvl w:val="0"/>
          <w:numId w:val="20"/>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Fixed O&amp;M.</w:t>
      </w:r>
      <w:r>
        <w:rPr>
          <w:rFonts w:cs="Times New Roman" w:ascii="Times New Roman" w:hAnsi="Times New Roman"/>
        </w:rPr>
        <w:t xml:space="preserve">  Fixed O&amp;M includes payroll expenses and other fixed O&amp;M expenses. The amount of annual fixed O&amp;M is approximately $5.2 million for the 1999 Plants and $4.2 million for the 2000 Plants ($ 2000).  Both are inflated at 3% per annum.</w:t>
      </w:r>
    </w:p>
    <w:p>
      <w:pPr>
        <w:pStyle w:val="A0b"/>
        <w:numPr>
          <w:ilvl w:val="0"/>
          <w:numId w:val="2"/>
        </w:numPr>
        <w:tabs>
          <w:tab w:val="clear" w:pos="720"/>
          <w:tab w:val="left" w:pos="1710" w:leader="none"/>
        </w:tabs>
        <w:ind w:hanging="360" w:start="1800" w:end="0"/>
        <w:rPr>
          <w:rFonts w:ascii="Times New Roman" w:hAnsi="Times New Roman" w:cs="Times New Roman"/>
          <w:i/>
          <w:i/>
        </w:rPr>
      </w:pPr>
      <w:r>
        <w:rPr>
          <w:rFonts w:cs="Times New Roman" w:ascii="Times New Roman" w:hAnsi="Times New Roman"/>
          <w:b/>
        </w:rPr>
        <w:t>Variable O&amp;M.</w:t>
      </w:r>
      <w:r>
        <w:rPr>
          <w:rFonts w:cs="Times New Roman" w:ascii="Times New Roman" w:hAnsi="Times New Roman"/>
        </w:rPr>
        <w:t xml:space="preserve">  Variable O&amp;M expenses include water costs and variable maintenance expenditures, and are calculated as follows:</w:t>
      </w:r>
    </w:p>
    <w:p>
      <w:pPr>
        <w:pStyle w:val="A0b"/>
        <w:numPr>
          <w:ilvl w:val="0"/>
          <w:numId w:val="0"/>
        </w:numPr>
        <w:ind w:firstLine="720" w:start="1440" w:end="0"/>
        <w:rPr/>
      </w:pPr>
      <w:r>
        <w:rPr>
          <w:rFonts w:cs="Times New Roman" w:ascii="Times New Roman" w:hAnsi="Times New Roman"/>
        </w:rPr>
        <w:t xml:space="preserve">Variable O&amp;M = </w:t>
      </w:r>
      <w:r>
        <w:rPr>
          <w:rFonts w:cs="Times New Roman" w:ascii="Times New Roman" w:hAnsi="Times New Roman"/>
          <w:i/>
        </w:rPr>
        <w:t xml:space="preserve">Variable O&amp;M Rate </w:t>
      </w:r>
      <w:r>
        <w:rPr>
          <w:rFonts w:cs="Times New Roman" w:ascii="Times New Roman" w:hAnsi="Times New Roman"/>
        </w:rPr>
        <w:t xml:space="preserve">x </w:t>
      </w:r>
      <w:r>
        <w:rPr>
          <w:rFonts w:cs="Times New Roman" w:ascii="Times New Roman" w:hAnsi="Times New Roman"/>
          <w:i/>
        </w:rPr>
        <w:t>Annual Generation</w:t>
      </w:r>
    </w:p>
    <w:p>
      <w:pPr>
        <w:pStyle w:val="A0"/>
        <w:spacing w:before="120" w:after="0"/>
        <w:ind w:start="1800" w:end="0"/>
        <w:rPr>
          <w:rFonts w:ascii="Times New Roman" w:hAnsi="Times New Roman" w:cs="Times New Roman"/>
        </w:rPr>
      </w:pPr>
      <w:r>
        <w:rPr>
          <w:rFonts w:cs="Times New Roman" w:ascii="Times New Roman" w:hAnsi="Times New Roman"/>
        </w:rPr>
        <w:t>Variable O&amp;M per unit is inflated at 3% per annum.</w:t>
      </w:r>
    </w:p>
    <w:p>
      <w:pPr>
        <w:pStyle w:val="A0"/>
        <w:numPr>
          <w:ilvl w:val="0"/>
          <w:numId w:val="8"/>
        </w:numPr>
        <w:tabs>
          <w:tab w:val="clear" w:pos="720"/>
          <w:tab w:val="left" w:pos="1710" w:leader="none"/>
        </w:tabs>
        <w:spacing w:before="120" w:after="0"/>
        <w:ind w:hanging="360" w:start="1800" w:end="0"/>
        <w:rPr>
          <w:rFonts w:ascii="Times New Roman" w:hAnsi="Times New Roman" w:cs="Times New Roman"/>
          <w:b/>
        </w:rPr>
      </w:pPr>
      <w:r>
        <w:rPr>
          <w:rFonts w:cs="Times New Roman" w:ascii="Times New Roman" w:hAnsi="Times New Roman"/>
          <w:b/>
        </w:rPr>
        <w:t xml:space="preserve">Major Maintenance.  </w:t>
      </w:r>
      <w:r>
        <w:rPr>
          <w:rFonts w:cs="Times New Roman" w:ascii="Times New Roman" w:hAnsi="Times New Roman"/>
        </w:rPr>
        <w:t>The model assumes an annual major maintenance expense of approximately $1.35 million for the 1999 Plants and $1.39 million for the 2000 Plants ($ 2000), assuming 75 starts/year.  Major maintenance expenditures are inflated at 3% per annum.</w:t>
      </w:r>
    </w:p>
    <w:p>
      <w:pPr>
        <w:pStyle w:val="A0b"/>
        <w:numPr>
          <w:ilvl w:val="0"/>
          <w:numId w:val="11"/>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Owner’s Expense.</w:t>
      </w:r>
      <w:r>
        <w:rPr>
          <w:rFonts w:cs="Times New Roman" w:ascii="Times New Roman" w:hAnsi="Times New Roman"/>
        </w:rPr>
        <w:t xml:space="preserve">  The Owner’s Expense includes Insurance, Utilities, Interconnection Fees, Gas Pipeline Metering Cost and Miscellaneous Expenses.  The amount of the Owner’s Expense is estimated at $1.2 million for the 1999 Plants and $1.1 million for the 2000 Plants.</w:t>
      </w:r>
    </w:p>
    <w:p>
      <w:pPr>
        <w:pStyle w:val="A0b"/>
        <w:numPr>
          <w:ilvl w:val="0"/>
          <w:numId w:val="14"/>
        </w:numPr>
        <w:tabs>
          <w:tab w:val="clear" w:pos="720"/>
          <w:tab w:val="left" w:pos="1710" w:leader="none"/>
        </w:tabs>
        <w:spacing w:before="100" w:after="0"/>
        <w:ind w:hanging="360" w:start="1800" w:end="0"/>
        <w:rPr>
          <w:rFonts w:ascii="Times New Roman" w:hAnsi="Times New Roman" w:cs="Times New Roman"/>
        </w:rPr>
      </w:pPr>
      <w:r>
        <w:rPr>
          <w:rFonts w:cs="Times New Roman" w:ascii="Times New Roman" w:hAnsi="Times New Roman"/>
          <w:b/>
        </w:rPr>
        <w:t>Property Taxes.</w:t>
      </w:r>
      <w:r>
        <w:rPr>
          <w:rFonts w:cs="Times New Roman" w:ascii="Times New Roman" w:hAnsi="Times New Roman"/>
        </w:rPr>
        <w:t xml:space="preserve">  The amount of the property taxes is estimated at $1.3 million for the 1999 Plants and $0.6 million for the 2000 Plants ($ 2000).  Property taxes vary based on abatement programs and other local issues.  Property taxes are not escalated annually.</w:t>
      </w:r>
    </w:p>
    <w:p>
      <w:pPr>
        <w:pStyle w:val="A0b"/>
        <w:numPr>
          <w:ilvl w:val="0"/>
          <w:numId w:val="14"/>
        </w:numPr>
        <w:tabs>
          <w:tab w:val="clear" w:pos="720"/>
          <w:tab w:val="left" w:pos="1710" w:leader="none"/>
          <w:tab w:val="left" w:pos="360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rPr>
        <w:t>Franchise Tax</w:t>
      </w:r>
      <w:r>
        <w:rPr>
          <w:rFonts w:cs="Times New Roman" w:ascii="Times New Roman" w:hAnsi="Times New Roman"/>
        </w:rPr>
        <w:t xml:space="preserve">. Franchise Tax is calculated for Brownsville, Gleason, New Albany, Caledonia and Wilton.  </w:t>
      </w:r>
      <w:r>
        <w:rPr>
          <w:rFonts w:cs="Times New Roman" w:ascii="Times New Roman" w:hAnsi="Times New Roman"/>
          <w:lang w:eastAsia="en-US"/>
        </w:rPr>
        <w:t xml:space="preserve">For Brownsville and Gleason, Tennessee imposes a .25% tax on the higher of (1) capital stock less treasury stock or stock held in other Tennessee corporations, retained earnings, indebtedness to, or guaranteed by, affiliated corporations and all reserves that do not represent legal liabilities, or, (2) the cost of all property owned less book (GAAP) accumulated depreciation.  For New Albany and Caledonia, Mississippi imposes a .25% tax on corporation capital employed in Mississippi.  The measure of capital includes stock, paid-in-capital, surplus and retained earnings less certain reserves.  For Wilton, </w:t>
      </w:r>
      <w:r>
        <w:rPr>
          <w:rFonts w:cs="Times New Roman" w:ascii="Times New Roman" w:hAnsi="Times New Roman"/>
          <w:color w:val="000000"/>
          <w:lang w:eastAsia="en-US"/>
        </w:rPr>
        <w:t>Illinois imposes a franchise tax, which is the product of the computed paid-in capital multiplied by a .15% (drops to .10% after first year) rate.  The computed paid-in capital is comprised of consideration paid for stock, any other consideration contributed to the corporations by a shareholder and any amounts added or transferred to paid-in capital by the board of directors.</w:t>
      </w:r>
    </w:p>
    <w:p>
      <w:pPr>
        <w:pStyle w:val="A0b"/>
        <w:numPr>
          <w:ilvl w:val="0"/>
          <w:numId w:val="14"/>
        </w:numPr>
        <w:tabs>
          <w:tab w:val="clear" w:pos="720"/>
          <w:tab w:val="left" w:pos="171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lang w:eastAsia="en-US"/>
        </w:rPr>
        <w:t>Wheatland Adjusted Gross Income Tax and Gross Receipts Tax</w:t>
      </w:r>
      <w:r>
        <w:rPr>
          <w:rFonts w:cs="Times New Roman" w:ascii="Times New Roman" w:hAnsi="Times New Roman"/>
          <w:lang w:eastAsia="en-US"/>
        </w:rPr>
        <w:t xml:space="preserve">. </w:t>
      </w:r>
      <w:r>
        <w:rPr>
          <w:rFonts w:cs="Times New Roman" w:ascii="Times New Roman" w:hAnsi="Times New Roman"/>
          <w:color w:val="000000"/>
          <w:lang w:eastAsia="en-US"/>
        </w:rPr>
        <w:t xml:space="preserve">Indiana income is subject to the greater of a 3.4% adjusted gross income tax or a 1.2% gross income tax.  The adjusted gross income tax are based on federal net income, adjusted for specific Indiana additions and subtractions.  The gross income tax base is total gross receipts, without any deductions for expenses or related cost.      </w:t>
      </w:r>
    </w:p>
    <w:p>
      <w:pPr>
        <w:pStyle w:val="Sub0n"/>
        <w:ind w:hanging="720" w:start="14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w:t>
        <w:tab/>
        <w:t>Accounting and Tax Assumptions</w:t>
      </w:r>
    </w:p>
    <w:p>
      <w:pPr>
        <w:pStyle w:val="A0b"/>
        <w:numPr>
          <w:ilvl w:val="0"/>
          <w:numId w:val="7"/>
        </w:numPr>
        <w:tabs>
          <w:tab w:val="clear" w:pos="720"/>
          <w:tab w:val="left" w:pos="1800" w:leader="none"/>
          <w:tab w:val="left" w:pos="3600" w:leader="none"/>
        </w:tabs>
        <w:ind w:hanging="360" w:start="1800" w:end="0"/>
        <w:rPr>
          <w:rFonts w:ascii="Times New Roman" w:hAnsi="Times New Roman" w:cs="Times New Roman"/>
        </w:rPr>
      </w:pPr>
      <w:r>
        <w:rPr>
          <w:rFonts w:cs="Times New Roman" w:ascii="Times New Roman" w:hAnsi="Times New Roman"/>
          <w:b/>
        </w:rPr>
        <w:t>Depreciation and Amortization</w:t>
      </w:r>
      <w:r>
        <w:rPr>
          <w:rFonts w:cs="Times New Roman" w:ascii="Times New Roman" w:hAnsi="Times New Roman"/>
        </w:rPr>
        <w:t xml:space="preserve">.  The 1999 and 2000 Project Costs are depreciated based on a 15-year MACRS depreciation schedule for the calculation of cash taxes.  The 1999 and 2000 Project Costs, and Power Contract Liability are depreciated over a 30-year straight-line schedule, with a residual value for the assets of 10%. </w:t>
      </w:r>
    </w:p>
    <w:p>
      <w:pPr>
        <w:pStyle w:val="A0b"/>
        <w:numPr>
          <w:ilvl w:val="0"/>
          <w:numId w:val="29"/>
        </w:numPr>
        <w:ind w:hanging="360" w:start="1800" w:end="0"/>
        <w:rPr>
          <w:rFonts w:ascii="Times New Roman" w:hAnsi="Times New Roman" w:cs="Times New Roman"/>
        </w:rPr>
      </w:pPr>
      <w:r>
        <w:rPr>
          <w:rFonts w:cs="Times New Roman" w:ascii="Times New Roman" w:hAnsi="Times New Roman"/>
          <w:b/>
        </w:rPr>
        <w:t>Income Taxes</w:t>
      </w:r>
      <w:r>
        <w:rPr>
          <w:rFonts w:cs="Times New Roman" w:ascii="Times New Roman" w:hAnsi="Times New Roman"/>
        </w:rPr>
        <w:t>.  Federal tax and State income tax benefits from the Plants are calculated assuming utilization on a carry forward basis at the holding company level.  The applicable local state income tax rates are listed in the Key Inputs table.</w:t>
      </w:r>
    </w:p>
    <w:p>
      <w:pPr>
        <w:pStyle w:val="Normal"/>
        <w:ind w:hanging="540" w:start="540" w:end="0"/>
        <w:rPr>
          <w:rFonts w:ascii="Times New Roman" w:hAnsi="Times New Roman" w:cs="Times New Roman"/>
          <w:b/>
          <w:color w:val="000000"/>
          <w:sz w:val="28"/>
          <w:lang w:eastAsia="en-US"/>
        </w:rPr>
      </w:pPr>
      <w:r>
        <w:rPr>
          <w:rFonts w:cs="Times New Roman"/>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36"/>
          <w:lang w:eastAsia="en-US"/>
        </w:rPr>
      </w:pPr>
      <w:r>
        <w:rPr>
          <w:b/>
          <w:color w:val="000000"/>
          <w:sz w:val="36"/>
          <w:lang w:eastAsia="en-US"/>
        </w:rPr>
        <w:t>5-b.</w:t>
        <w:tab/>
        <w:t xml:space="preserve"> </w:t>
      </w:r>
      <w:r>
        <w:rPr>
          <w:b/>
          <w:sz w:val="36"/>
          <w:lang w:eastAsia="en-US"/>
        </w:rPr>
        <w:t>Financial Model</w:t>
      </w:r>
    </w:p>
    <w:p>
      <w:pPr>
        <w:pStyle w:val="Normal"/>
        <w:rPr>
          <w:b/>
          <w:color w:val="000000"/>
          <w:sz w:val="24"/>
          <w:lang w:eastAsia="en-US"/>
        </w:rPr>
      </w:pPr>
      <w:r>
        <w:rPr>
          <w:b/>
          <w:color w:val="000000"/>
          <w:sz w:val="24"/>
          <w:lang w:eastAsia="en-US"/>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3"/>
        <w:rPr>
          <w:sz w:val="24"/>
        </w:rPr>
      </w:pPr>
      <w:r>
        <w:rPr>
          <w:sz w:val="24"/>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ind w:hanging="720" w:start="1440" w:end="0"/>
        <w:rPr/>
      </w:pPr>
      <w:r>
        <w:rPr/>
        <w:t>6.</w:t>
        <w:tab/>
        <w:t>S&amp;P’s Write-up of Enron Generation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ENRON GENERATION COMPANY, LLC</w:t>
      </w:r>
    </w:p>
    <w:p>
      <w:pPr>
        <w:pStyle w:val="Normal"/>
        <w:rPr/>
      </w:pPr>
      <w:r>
        <w:rPr/>
      </w:r>
    </w:p>
    <w:p>
      <w:pPr>
        <w:pStyle w:val="Normal"/>
        <w:rPr>
          <w:sz w:val="22"/>
        </w:rPr>
      </w:pPr>
      <w:r>
        <w:rPr>
          <w:sz w:val="22"/>
        </w:rPr>
        <w:t>Analysts: Jeffrey Wolinsky, CFA, New York (1) 212-438-2117</w:t>
      </w:r>
    </w:p>
    <w:p>
      <w:pPr>
        <w:pStyle w:val="Normal"/>
        <w:ind w:start="720" w:end="0"/>
        <w:rPr>
          <w:sz w:val="22"/>
        </w:rPr>
      </w:pPr>
      <w:r>
        <w:rPr>
          <w:sz w:val="22"/>
        </w:rPr>
        <w:t xml:space="preserve">   </w:t>
      </w:r>
      <w:r>
        <w:rPr>
          <w:sz w:val="22"/>
        </w:rPr>
        <w:t>Peter Rigby, New York (1) 212-438-2085</w:t>
      </w:r>
    </w:p>
    <w:p>
      <w:pPr>
        <w:pStyle w:val="Normal"/>
        <w:rPr>
          <w:sz w:val="22"/>
        </w:rPr>
      </w:pPr>
      <w:r>
        <w:rPr>
          <w:sz w:val="22"/>
        </w:rPr>
      </w:r>
    </w:p>
    <w:p>
      <w:pPr>
        <w:pStyle w:val="Normal"/>
        <w:rPr/>
      </w:pPr>
      <w:r>
        <w:rPr>
          <w:b/>
          <w:sz w:val="22"/>
        </w:rPr>
        <w:t>RATING ASSIGNED:</w:t>
        <w:tab/>
      </w:r>
      <w:r>
        <w:rPr>
          <w:sz w:val="22"/>
        </w:rPr>
        <w:t>BB+ (Confidential)</w:t>
      </w:r>
    </w:p>
    <w:p>
      <w:pPr>
        <w:pStyle w:val="Normal"/>
        <w:rPr>
          <w:sz w:val="22"/>
        </w:rPr>
      </w:pPr>
      <w:r>
        <w:rPr>
          <w:sz w:val="22"/>
        </w:rPr>
      </w:r>
    </w:p>
    <w:p>
      <w:pPr>
        <w:pStyle w:val="Normal"/>
        <w:rPr/>
      </w:pPr>
      <w:r>
        <w:rPr>
          <w:b/>
          <w:sz w:val="22"/>
        </w:rPr>
        <w:t>DATE:</w:t>
      </w:r>
      <w:r>
        <w:rPr>
          <w:sz w:val="22"/>
        </w:rPr>
        <w:tab/>
        <w:tab/>
        <w:tab/>
        <w:t>November 3, 1999</w:t>
      </w:r>
    </w:p>
    <w:p>
      <w:pPr>
        <w:pStyle w:val="Normal"/>
        <w:rPr>
          <w:sz w:val="22"/>
        </w:rPr>
      </w:pPr>
      <w:r>
        <w:rPr>
          <w:sz w:val="22"/>
        </w:rPr>
      </w:r>
    </w:p>
    <w:p>
      <w:pPr>
        <w:pStyle w:val="Normal"/>
        <w:rPr/>
      </w:pPr>
      <w:r>
        <w:rPr>
          <w:b/>
          <w:sz w:val="22"/>
        </w:rPr>
        <w:t>OUTLOOK:</w:t>
        <w:tab/>
        <w:tab/>
      </w:r>
      <w:r>
        <w:rPr>
          <w:sz w:val="22"/>
        </w:rPr>
        <w:t>STABLE</w:t>
      </w:r>
    </w:p>
    <w:p>
      <w:pPr>
        <w:pStyle w:val="Normal"/>
        <w:rPr>
          <w:sz w:val="22"/>
        </w:rPr>
      </w:pPr>
      <w:r>
        <w:rPr>
          <w:sz w:val="22"/>
        </w:rPr>
      </w:r>
    </w:p>
    <w:p>
      <w:pPr>
        <w:pStyle w:val="Normal"/>
        <w:rPr>
          <w:sz w:val="22"/>
        </w:rPr>
      </w:pPr>
      <w:r>
        <w:rPr>
          <w:sz w:val="22"/>
        </w:rPr>
        <w:tab/>
        <w:tab/>
        <w:tab/>
        <w:t xml:space="preserve">  $775 million senior secured bonds to be issued in three tranches:</w:t>
      </w:r>
    </w:p>
    <w:p>
      <w:pPr>
        <w:pStyle w:val="Normal"/>
        <w:rPr>
          <w:sz w:val="22"/>
        </w:rPr>
      </w:pPr>
      <w:r>
        <w:rPr>
          <w:sz w:val="22"/>
        </w:rPr>
        <w:tab/>
        <w:tab/>
        <w:tab/>
        <w:t xml:space="preserve">  $100 million Tranche A bonds maturing in 2003</w:t>
      </w:r>
    </w:p>
    <w:p>
      <w:pPr>
        <w:pStyle w:val="Normal"/>
        <w:rPr>
          <w:sz w:val="22"/>
        </w:rPr>
      </w:pPr>
      <w:r>
        <w:rPr>
          <w:sz w:val="22"/>
        </w:rPr>
        <w:tab/>
        <w:tab/>
        <w:tab/>
        <w:t xml:space="preserve">  $200 million Tranche B bonds maturing in 2009</w:t>
      </w:r>
    </w:p>
    <w:p>
      <w:pPr>
        <w:pStyle w:val="Normal"/>
        <w:rPr>
          <w:sz w:val="22"/>
        </w:rPr>
      </w:pPr>
      <w:r>
        <w:rPr>
          <w:sz w:val="22"/>
        </w:rPr>
        <w:tab/>
        <w:tab/>
        <w:tab/>
        <w:t xml:space="preserve">  $475 million Tranche C bonds maturing in 2019</w:t>
      </w:r>
    </w:p>
    <w:p>
      <w:pPr>
        <w:pStyle w:val="Normal"/>
        <w:rPr>
          <w:sz w:val="22"/>
          <w:lang w:val="en-CA"/>
        </w:rPr>
      </w:pPr>
      <w:r>
        <w:rPr>
          <w:sz w:val="22"/>
          <w:lang w:val="en-CA"/>
        </w:rPr>
        <mc:AlternateContent>
          <mc:Choice Requires="wps">
            <w:drawing>
              <wp:anchor behindDoc="0" distT="0" distB="0" distL="114935" distR="114935" simplePos="0" locked="0" layoutInCell="1" allowOverlap="1" relativeHeight="65">
                <wp:simplePos x="0" y="0"/>
                <wp:positionH relativeFrom="column">
                  <wp:posOffset>-45720</wp:posOffset>
                </wp:positionH>
                <wp:positionV relativeFrom="paragraph">
                  <wp:posOffset>113030</wp:posOffset>
                </wp:positionV>
                <wp:extent cx="5486400" cy="0"/>
                <wp:effectExtent l="0" t="14605" r="0" b="14605"/>
                <wp:wrapNone/>
                <wp:docPr id="1" name=""/>
                <a:graphic xmlns:a="http://schemas.openxmlformats.org/drawingml/2006/main">
                  <a:graphicData uri="http://schemas.microsoft.com/office/word/2010/wordprocessingShape">
                    <wps:wsp>
                      <wps:cNvSpPr/>
                      <wps:spPr>
                        <a:xfrm>
                          <a:off x="0" y="0"/>
                          <a:ext cx="54864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6pt,8.9pt" to="428.35pt,8.9pt" stroked="t" o:allowincell="f" style="position:absolute">
                <v:stroke color="black" weight="28440" joinstyle="miter" endcap="flat"/>
                <v:fill o:detectmouseclick="t" on="false"/>
                <w10:wrap type="none"/>
              </v:line>
            </w:pict>
          </mc:Fallback>
        </mc:AlternateContent>
      </w:r>
    </w:p>
    <w:p>
      <w:pPr>
        <w:pStyle w:val="Normal"/>
        <w:rPr>
          <w:sz w:val="22"/>
        </w:rPr>
      </w:pPr>
      <w:r>
        <w:rPr>
          <w:sz w:val="22"/>
        </w:rPr>
      </w:r>
    </w:p>
    <w:p>
      <w:pPr>
        <w:pStyle w:val="Normal"/>
        <w:rPr>
          <w:b/>
          <w:sz w:val="22"/>
        </w:rPr>
      </w:pPr>
      <w:r>
        <w:rPr>
          <w:b/>
          <w:sz w:val="22"/>
        </w:rPr>
        <w:t>RATIONALE:</w:t>
      </w:r>
    </w:p>
    <w:p>
      <w:pPr>
        <w:pStyle w:val="Normal"/>
        <w:rPr>
          <w:b/>
          <w:sz w:val="22"/>
        </w:rPr>
      </w:pPr>
      <w:r>
        <w:rPr>
          <w:b/>
          <w:sz w:val="22"/>
        </w:rPr>
      </w:r>
    </w:p>
    <w:p>
      <w:pPr>
        <w:pStyle w:val="Normal"/>
        <w:rPr>
          <w:sz w:val="22"/>
        </w:rPr>
      </w:pPr>
      <w:r>
        <w:rPr>
          <w:sz w:val="22"/>
        </w:rPr>
        <w:t>Standard &amp; Poor’s assigned a BB+ rating (Confidential) to Enron Generation Company, LLC’s (EGC), $775 million senior secured bonds.  EGC owns a 99% limited partnership interest in six natural gas-fired simple-cycle power plants, with a capability of 3,159 MW located in Tennessee, Mississippi, Kentucky, Indiana and Illinois.  About half of the facilities are in commercial operation and the other half are expected to be in service by July 2000.  The rating reflects the following risks:</w:t>
      </w:r>
    </w:p>
    <w:p>
      <w:pPr>
        <w:pStyle w:val="Normal"/>
        <w:rPr>
          <w:sz w:val="22"/>
        </w:rPr>
      </w:pPr>
      <w:r>
        <w:rPr>
          <w:sz w:val="22"/>
        </w:rPr>
      </w:r>
    </w:p>
    <w:p>
      <w:pPr>
        <w:pStyle w:val="Normal"/>
        <w:numPr>
          <w:ilvl w:val="0"/>
          <w:numId w:val="28"/>
        </w:numPr>
        <w:rPr>
          <w:i/>
          <w:i/>
          <w:sz w:val="22"/>
        </w:rPr>
      </w:pPr>
      <w:r>
        <w:rPr>
          <w:sz w:val="22"/>
        </w:rPr>
        <w:t>Merchant risk under the power purchase agreement (PPA) during the market price period (2004-2019).  Because the facilities are defined as peaking facilities, they rely on capacity revenues for cash flow stability.  Average prices for capacity are expected to be much more volatile than average prices for electricity.</w:t>
      </w:r>
    </w:p>
    <w:p>
      <w:pPr>
        <w:pStyle w:val="Normal"/>
        <w:numPr>
          <w:ilvl w:val="0"/>
          <w:numId w:val="28"/>
        </w:numPr>
        <w:rPr>
          <w:i/>
          <w:i/>
          <w:sz w:val="22"/>
        </w:rPr>
      </w:pPr>
      <w:r>
        <w:rPr>
          <w:sz w:val="22"/>
        </w:rPr>
        <w:t>The inability of the project to enter into sales agreements during the market price period in excess of five years.  Short-term sales agreements increase cash flow volatility and increase risk for bondholders.</w:t>
      </w:r>
    </w:p>
    <w:p>
      <w:pPr>
        <w:pStyle w:val="Normal"/>
        <w:numPr>
          <w:ilvl w:val="0"/>
          <w:numId w:val="28"/>
        </w:numPr>
        <w:rPr>
          <w:i/>
          <w:i/>
          <w:sz w:val="22"/>
        </w:rPr>
      </w:pPr>
      <w:r>
        <w:rPr>
          <w:sz w:val="22"/>
        </w:rPr>
        <w:t xml:space="preserve">An auction process under the PPA that gives ECT the right, but not the obligation to purchase 70% of any block of power at the auction price.  Standard &amp; Poor’s concludes that the value of this option could be reflected through lower bid prices.  </w:t>
      </w:r>
    </w:p>
    <w:p>
      <w:pPr>
        <w:pStyle w:val="Normal"/>
        <w:numPr>
          <w:ilvl w:val="0"/>
          <w:numId w:val="28"/>
        </w:numPr>
        <w:rPr>
          <w:i/>
          <w:i/>
          <w:sz w:val="22"/>
        </w:rPr>
      </w:pPr>
      <w:r>
        <w:rPr>
          <w:sz w:val="22"/>
        </w:rPr>
        <w:t>A moderate amount of technology risk.  The turbines range from commercially proven models with significant operating history to new models with limited or no commercial history.  The mix also includes modified older turbine models with limited commercial history for the modifications.</w:t>
      </w:r>
    </w:p>
    <w:p>
      <w:pPr>
        <w:pStyle w:val="Normal"/>
        <w:rPr>
          <w:i/>
          <w:i/>
          <w:sz w:val="22"/>
        </w:rPr>
      </w:pPr>
      <w:r>
        <w:rPr>
          <w:i/>
          <w:sz w:val="22"/>
        </w:rPr>
      </w:r>
    </w:p>
    <w:p>
      <w:pPr>
        <w:pStyle w:val="Normal"/>
        <w:rPr>
          <w:sz w:val="22"/>
        </w:rPr>
      </w:pPr>
      <w:r>
        <w:rPr>
          <w:sz w:val="22"/>
        </w:rPr>
      </w:r>
    </w:p>
    <w:p>
      <w:pPr>
        <w:pStyle w:val="Normal"/>
        <w:rPr>
          <w:sz w:val="22"/>
        </w:rPr>
      </w:pPr>
      <w:r>
        <w:rPr>
          <w:sz w:val="22"/>
        </w:rPr>
        <w:t>The following strengths offset the risks at the BB+ level:</w:t>
      </w:r>
    </w:p>
    <w:p>
      <w:pPr>
        <w:pStyle w:val="Normal"/>
        <w:rPr>
          <w:sz w:val="22"/>
        </w:rPr>
      </w:pPr>
      <w:r>
        <w:rPr>
          <w:sz w:val="22"/>
        </w:rPr>
      </w:r>
    </w:p>
    <w:p>
      <w:pPr>
        <w:pStyle w:val="Normal"/>
        <w:numPr>
          <w:ilvl w:val="0"/>
          <w:numId w:val="16"/>
        </w:numPr>
        <w:rPr>
          <w:sz w:val="22"/>
        </w:rPr>
      </w:pPr>
      <w:r>
        <w:rPr>
          <w:sz w:val="22"/>
        </w:rPr>
        <w:t>Substantial liquidity in the form of a 12 month debt service reserve fund during the merchant period and a restrictive covenant package that limits distributions to equity participants.</w:t>
      </w:r>
    </w:p>
    <w:p>
      <w:pPr>
        <w:pStyle w:val="Normal"/>
        <w:numPr>
          <w:ilvl w:val="0"/>
          <w:numId w:val="16"/>
        </w:numPr>
        <w:rPr>
          <w:sz w:val="22"/>
        </w:rPr>
      </w:pPr>
      <w:r>
        <w:rPr>
          <w:sz w:val="22"/>
        </w:rPr>
        <w:t>The flexibility of the plants to deliver power into multiple market areas decreases their susceptibility to isolated regional problems.  The plants are all located on 500kV transmission lines and high pressure gas pipelines, which also mitigates deliverability constraints.</w:t>
      </w:r>
    </w:p>
    <w:p>
      <w:pPr>
        <w:pStyle w:val="Normal"/>
        <w:numPr>
          <w:ilvl w:val="0"/>
          <w:numId w:val="16"/>
        </w:numPr>
        <w:rPr>
          <w:sz w:val="22"/>
        </w:rPr>
      </w:pPr>
      <w:r>
        <w:rPr>
          <w:sz w:val="22"/>
        </w:rPr>
        <w:t>A demonstrated need for peaking capacity in the MAIN, ECAR and TVA market regions.  The combination of declining reserve margins and a disproportionate amount of base load capacity in each region, substantiate a need for peaking load generation in the near-term.</w:t>
      </w:r>
    </w:p>
    <w:p>
      <w:pPr>
        <w:pStyle w:val="Normal"/>
        <w:numPr>
          <w:ilvl w:val="0"/>
          <w:numId w:val="16"/>
        </w:numPr>
        <w:rPr>
          <w:sz w:val="22"/>
        </w:rPr>
      </w:pPr>
      <w:r>
        <w:rPr>
          <w:sz w:val="22"/>
        </w:rPr>
        <w:t>The expertise of Enron as an energy marketer to obtain gas and sell the output of the plant during the merchant period (2004-2019).  Enron is the largest marketer of natural gas and electricity in the US.</w:t>
      </w:r>
    </w:p>
    <w:p>
      <w:pPr>
        <w:pStyle w:val="Normal"/>
        <w:numPr>
          <w:ilvl w:val="0"/>
          <w:numId w:val="16"/>
        </w:numPr>
        <w:rPr>
          <w:sz w:val="22"/>
        </w:rPr>
      </w:pPr>
      <w:r>
        <w:rPr>
          <w:sz w:val="22"/>
        </w:rPr>
        <w:t>Low construction risk.  Some of the 1999 facilities are in operation and all of the facilities are scheduled to be in operation by July 2000.</w:t>
      </w:r>
    </w:p>
    <w:p>
      <w:pPr>
        <w:pStyle w:val="Normal"/>
        <w:rPr>
          <w:sz w:val="22"/>
        </w:rPr>
      </w:pPr>
      <w:r>
        <w:rPr>
          <w:sz w:val="22"/>
        </w:rPr>
      </w:r>
    </w:p>
    <w:p>
      <w:pPr>
        <w:pStyle w:val="Normal"/>
        <w:rPr>
          <w:sz w:val="22"/>
        </w:rPr>
      </w:pPr>
      <w:r>
        <w:rPr>
          <w:sz w:val="22"/>
        </w:rPr>
      </w:r>
    </w:p>
    <w:p>
      <w:pPr>
        <w:pStyle w:val="Heading1"/>
        <w:ind w:hanging="0" w:start="0"/>
        <w:rPr/>
      </w:pPr>
      <w:r>
        <w:rPr/>
        <w:t>Outlook: STABLE</w:t>
      </w:r>
    </w:p>
    <w:p>
      <w:pPr>
        <w:pStyle w:val="Normal"/>
        <w:rPr>
          <w:b/>
        </w:rPr>
      </w:pPr>
      <w:r>
        <w:rPr>
          <w:b/>
        </w:rPr>
      </w:r>
    </w:p>
    <w:p>
      <w:pPr>
        <w:pStyle w:val="Normal"/>
        <w:rPr>
          <w:sz w:val="22"/>
        </w:rPr>
      </w:pPr>
      <w:r>
        <w:rPr>
          <w:sz w:val="22"/>
        </w:rPr>
        <w:t>The Stable outlook reflects the anticipated completion of the projects without significant delays.  The plants are expected to operate in accordance with the guarantees.  The anticipated volatility in revenues in conjunction with the fall-away provision of the debt service reserve fund (DSRF) make an upgrade to investment grade unlikely.  The additional six month debt service reserve fund requirement during the merchant period falls away if EGC has maintained an investment grade rating from Standard &amp; Poor’s for at least 2 years and Standard &amp; Poor’s affirms that the rating will not be downgraded because of the fall away.  Alternatively, a sustained depression in capacity prices during the merchant period could cause a downgrade.</w:t>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720" w:top="158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drawing>
        <wp:anchor behindDoc="1" distT="0" distB="0" distL="114935" distR="114935" simplePos="0" locked="0" layoutInCell="1" allowOverlap="1" relativeHeight="64">
          <wp:simplePos x="0" y="0"/>
          <wp:positionH relativeFrom="column">
            <wp:posOffset>5394960</wp:posOffset>
          </wp:positionH>
          <wp:positionV relativeFrom="paragraph">
            <wp:posOffset>-55880</wp:posOffset>
          </wp:positionV>
          <wp:extent cx="731520" cy="579755"/>
          <wp:effectExtent l="0" t="0" r="0" b="0"/>
          <wp:wrapNone/>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r>
  </w:p>
  <w:p>
    <w:pPr>
      <w:pStyle w:val="Footer"/>
      <w:rPr/>
    </w:pPr>
    <w:r>
      <w:rPr/>
    </w:r>
  </w:p>
  <w:p>
    <w:pPr>
      <w:pStyle w:val="Footer"/>
      <w:rPr>
        <w:lang w:val="en-CA"/>
      </w:rPr>
    </w:pPr>
    <w:r>
      <w:rPr>
        <w:lang w:val="en-CA"/>
      </w:rP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9326880</wp:posOffset>
              </wp:positionV>
              <wp:extent cx="5303520" cy="0"/>
              <wp:effectExtent l="0" t="6350" r="0" b="6350"/>
              <wp:wrapNone/>
              <wp:docPr id="8" name=""/>
              <a:graphic xmlns:a="http://schemas.openxmlformats.org/drawingml/2006/main">
                <a:graphicData uri="http://schemas.microsoft.com/office/word/2010/wordprocessingShape">
                  <wps:wsp>
                    <wps:cNvSpPr/>
                    <wps:spPr>
                      <a:xfrm>
                        <a:off x="0" y="0"/>
                        <a:ext cx="5303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9.2pt,734.4pt" to="496.75pt,734.4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Footer"/>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19">
              <wp:simplePos x="0" y="0"/>
              <wp:positionH relativeFrom="page">
                <wp:posOffset>1280160</wp:posOffset>
              </wp:positionH>
              <wp:positionV relativeFrom="page">
                <wp:posOffset>822960</wp:posOffset>
              </wp:positionV>
              <wp:extent cx="1917700" cy="0"/>
              <wp:effectExtent l="0" t="31750" r="0" b="31750"/>
              <wp:wrapNone/>
              <wp:docPr id="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0.8pt,64.8pt" to="251.75pt,64.8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7">
              <wp:simplePos x="0" y="0"/>
              <wp:positionH relativeFrom="column">
                <wp:posOffset>0</wp:posOffset>
              </wp:positionH>
              <wp:positionV relativeFrom="paragraph">
                <wp:posOffset>91440</wp:posOffset>
              </wp:positionV>
              <wp:extent cx="6309360" cy="0"/>
              <wp:effectExtent l="0" t="0" r="0" b="0"/>
              <wp:wrapNone/>
              <wp:docPr id="3" name=""/>
              <a:graphic xmlns:a="http://schemas.openxmlformats.org/drawingml/2006/main">
                <a:graphicData uri="http://schemas.microsoft.com/office/word/2010/wordprocessingShape">
                  <wps:wsp>
                    <wps:cNvSpPr/>
                    <wps:spPr>
                      <a:xfrm>
                        <a:off x="0" y="0"/>
                        <a:ext cx="6309360" cy="0"/>
                      </a:xfrm>
                      <a:prstGeom prst="line">
                        <a:avLst/>
                      </a:prstGeom>
                      <a:ln w="0">
                        <a:noFill/>
                      </a:ln>
                    </wps:spPr>
                    <wps:style>
                      <a:lnRef idx="0"/>
                      <a:fillRef idx="0"/>
                      <a:effectRef idx="0"/>
                      <a:fontRef idx="minor"/>
                    </wps:style>
                    <wps:bodyPr/>
                  </wps:wsp>
                </a:graphicData>
              </a:graphic>
            </wp:anchor>
          </w:drawing>
        </mc:Choice>
        <mc:Fallback>
          <w:pict>
            <v:line id="shape_0" from="0pt,7.2pt" to="496.75pt,7.2pt" stroked="f" o:allowincell="f" style="position:absolute">
              <v:stroke color="#3465a4" joinstyle="round" endcap="flat"/>
              <v:fill o:detectmouseclick="t" on="false"/>
              <w10:wrap type="none"/>
            </v:line>
          </w:pict>
        </mc:Fallback>
      </mc:AlternateContent>
      <mc:AlternateContent>
        <mc:Choice Requires="wps">
          <w:drawing>
            <wp:anchor behindDoc="1" distT="0" distB="0" distL="114935" distR="114935" simplePos="0" locked="0" layoutInCell="0" allowOverlap="1" relativeHeight="46">
              <wp:simplePos x="0" y="0"/>
              <wp:positionH relativeFrom="page">
                <wp:posOffset>1188720</wp:posOffset>
              </wp:positionH>
              <wp:positionV relativeFrom="page">
                <wp:posOffset>822960</wp:posOffset>
              </wp:positionV>
              <wp:extent cx="5486400" cy="0"/>
              <wp:effectExtent l="0" t="6350" r="0" b="6350"/>
              <wp:wrapNone/>
              <wp:docPr id="4"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64.8pt" to="525.55pt,64.8pt" stroked="t" o:allowincell="f" style="position:absolute;mso-position-horizontal-relative:page;mso-position-vertical-relative:page">
              <v:stroke color="black" weight="1260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10">
              <wp:simplePos x="0" y="0"/>
              <wp:positionH relativeFrom="page">
                <wp:posOffset>6950075</wp:posOffset>
              </wp:positionH>
              <wp:positionV relativeFrom="page">
                <wp:posOffset>457835</wp:posOffset>
              </wp:positionV>
              <wp:extent cx="304800" cy="131445"/>
              <wp:effectExtent l="0" t="0" r="0" b="0"/>
              <wp:wrapTopAndBottom/>
              <wp:docPr id="5" name="Frame1"/>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36.05pt;mso-position-vertical-relative:page;margin-left:547.2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28">
              <wp:simplePos x="0" y="0"/>
              <wp:positionH relativeFrom="page">
                <wp:posOffset>5740400</wp:posOffset>
              </wp:positionH>
              <wp:positionV relativeFrom="page">
                <wp:posOffset>513080</wp:posOffset>
              </wp:positionV>
              <wp:extent cx="952500" cy="127000"/>
              <wp:effectExtent l="0" t="0" r="0" b="0"/>
              <wp:wrapNone/>
              <wp:docPr id="6"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40.4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2160"/>
        </w:tabs>
        <w:ind w:start="21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18">
    <w:lvl w:ilvl="0">
      <w:start w:val="1"/>
      <w:numFmt w:val="lowerRoman"/>
      <w:lvlText w:val="(%1)"/>
      <w:lvlJc w:val="start"/>
      <w:pPr>
        <w:tabs>
          <w:tab w:val="num" w:pos="2880"/>
        </w:tabs>
        <w:ind w:start="2880" w:hanging="720"/>
      </w:pPr>
    </w:lvl>
  </w:abstractNum>
  <w:abstractNum w:abstractNumId="19">
    <w:lvl w:ilvl="0">
      <w:start w:val="1"/>
      <w:numFmt w:val="bullet"/>
      <w:lvlText w:val=""/>
      <w:lvlJc w:val="start"/>
      <w:pPr>
        <w:tabs>
          <w:tab w:val="num" w:pos="2880"/>
        </w:tabs>
        <w:ind w:start="360" w:firstLine="2160"/>
      </w:pPr>
      <w:rPr>
        <w:rFonts w:ascii="Wingdings" w:hAnsi="Wingdings" w:cs="Wingdings" w:hint="default"/>
        <w:sz w:val="10"/>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1440"/>
        </w:tabs>
        <w:ind w:start="1440" w:hanging="360"/>
      </w:pPr>
      <w:rPr>
        <w:rFonts w:ascii="Symbol" w:hAnsi="Symbol" w:cs="Symbol" w:hint="default"/>
        <w:position w:val="2"/>
      </w:rPr>
    </w:lvl>
  </w:abstractNum>
  <w:abstractNum w:abstractNumId="26">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27">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7"/>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0"/>
    </w:rPr>
  </w:style>
  <w:style w:type="paragraph" w:styleId="Heading2">
    <w:name w:val="heading 2"/>
    <w:basedOn w:val="Normal"/>
    <w:next w:val="Normal"/>
    <w:qFormat/>
    <w:pPr>
      <w:keepNext w:val="true"/>
      <w:numPr>
        <w:ilvl w:val="1"/>
        <w:numId w:val="1"/>
      </w:numPr>
      <w:spacing w:before="60" w:after="0"/>
      <w:jc w:val="cente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b/>
      <w:sz w:val="50"/>
    </w:rPr>
  </w:style>
  <w:style w:type="paragraph" w:styleId="Heading4">
    <w:name w:val="heading 4"/>
    <w:basedOn w:val="Normal"/>
    <w:next w:val="Normal"/>
    <w:qFormat/>
    <w:pPr>
      <w:keepNext w:val="true"/>
      <w:numPr>
        <w:ilvl w:val="3"/>
        <w:numId w:val="1"/>
      </w:numPr>
      <w:ind w:hanging="540" w:start="540" w:end="0"/>
      <w:outlineLvl w:val="3"/>
    </w:pPr>
    <w:rPr>
      <w:b/>
      <w:color w:val="000000"/>
      <w:sz w:val="40"/>
      <w:lang w:eastAsia="en-US"/>
    </w:rPr>
  </w:style>
  <w:style w:type="paragraph" w:styleId="Heading5">
    <w:name w:val="heading 5"/>
    <w:basedOn w:val="Normal"/>
    <w:next w:val="Normal"/>
    <w:qFormat/>
    <w:pPr>
      <w:keepNext w:val="true"/>
      <w:numPr>
        <w:ilvl w:val="4"/>
        <w:numId w:val="1"/>
      </w:numPr>
      <w:ind w:firstLine="720" w:start="720" w:end="0"/>
      <w:outlineLvl w:val="4"/>
    </w:pPr>
    <w:rPr>
      <w:b/>
      <w:sz w:val="40"/>
    </w:rPr>
  </w:style>
  <w:style w:type="paragraph" w:styleId="Heading6">
    <w:name w:val="heading 6"/>
    <w:basedOn w:val="Normal"/>
    <w:next w:val="Normal"/>
    <w:qFormat/>
    <w:pPr>
      <w:keepNext w:val="true"/>
      <w:numPr>
        <w:ilvl w:val="5"/>
        <w:numId w:val="1"/>
      </w:numPr>
      <w:spacing w:before="120" w:after="120"/>
      <w:jc w:val="center"/>
      <w:outlineLvl w:val="5"/>
    </w:pPr>
    <w:rPr>
      <w:rFonts w:ascii="Arial Bold" w:hAnsi="Arial Bold" w:cs="Arial Bold"/>
      <w:b/>
      <w:color w:val="FFFFFF"/>
      <w:sz w:val="24"/>
    </w:rPr>
  </w:style>
  <w:style w:type="paragraph" w:styleId="Heading7">
    <w:name w:val="heading 7"/>
    <w:basedOn w:val="Normal"/>
    <w:next w:val="Normal"/>
    <w:qFormat/>
    <w:pPr>
      <w:keepNext w:val="true"/>
      <w:numPr>
        <w:ilvl w:val="6"/>
        <w:numId w:val="1"/>
      </w:numPr>
      <w:spacing w:before="300" w:after="0"/>
      <w:outlineLvl w:val="6"/>
    </w:pPr>
    <w:rPr>
      <w:rFonts w:ascii="Arial" w:hAnsi="Arial" w:cs="Arial"/>
      <w:b/>
    </w:rPr>
  </w:style>
  <w:style w:type="paragraph" w:styleId="Heading8">
    <w:name w:val="heading 8"/>
    <w:basedOn w:val="Normal"/>
    <w:next w:val="Normal"/>
    <w:qFormat/>
    <w:pPr>
      <w:keepNext w:val="true"/>
      <w:numPr>
        <w:ilvl w:val="7"/>
        <w:numId w:val="1"/>
      </w:numPr>
      <w:ind w:firstLine="180" w:start="1260" w:end="0"/>
      <w:outlineLvl w:val="7"/>
    </w:pPr>
    <w:rPr>
      <w:b/>
      <w:sz w:val="40"/>
    </w:rPr>
  </w:style>
  <w:style w:type="paragraph" w:styleId="Heading9">
    <w:name w:val="heading 9"/>
    <w:basedOn w:val="Normal"/>
    <w:next w:val="Normal"/>
    <w:qFormat/>
    <w:pPr>
      <w:keepNext w:val="true"/>
      <w:numPr>
        <w:ilvl w:val="8"/>
        <w:numId w:val="1"/>
      </w:numPr>
      <w:spacing w:before="120" w:after="120"/>
      <w:ind w:hanging="0" w:start="720" w:end="0"/>
      <w:outlineLvl w:val="8"/>
    </w:pPr>
    <w:rPr>
      <w:rFonts w:ascii="Arial" w:hAnsi="Arial" w:cs="Arial"/>
      <w:vanish/>
      <w:color w:val="FF0000"/>
      <w:sz w:val="18"/>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b w:val="false"/>
      <w:i w:val="false"/>
      <w:sz w:val="14"/>
      <w:u w:val="none"/>
    </w:rPr>
  </w:style>
  <w:style w:type="character" w:styleId="WW8Num13z0">
    <w:name w:val="WW8Num13z0"/>
    <w:qFormat/>
    <w:rPr>
      <w:rFonts w:ascii="Wingdings" w:hAnsi="Wingdings" w:cs="Wingdings"/>
      <w:b/>
      <w:i/>
      <w:sz w:val="24"/>
    </w:rPr>
  </w:style>
  <w:style w:type="character" w:styleId="WW8Num15z0">
    <w:name w:val="WW8Num15z0"/>
    <w:qFormat/>
    <w:rPr/>
  </w:style>
  <w:style w:type="character" w:styleId="WW8Num16z0">
    <w:name w:val="WW8Num16z0"/>
    <w:qFormat/>
    <w:rPr/>
  </w:style>
  <w:style w:type="character" w:styleId="WW8Num23z0">
    <w:name w:val="WW8Num23z0"/>
    <w:qFormat/>
    <w:rPr>
      <w:rFonts w:ascii="Wingdings" w:hAnsi="Wingdings" w:cs="Wingdings"/>
      <w:b/>
      <w:i/>
      <w:sz w:val="24"/>
    </w:rPr>
  </w:style>
  <w:style w:type="character" w:styleId="WW8Num24z0">
    <w:name w:val="WW8Num24z0"/>
    <w:qFormat/>
    <w:rPr>
      <w:rFonts w:ascii="Symbol" w:hAnsi="Symbol" w:cs="Symbol"/>
      <w:sz w:val="14"/>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color w:val="auto"/>
      <w:sz w:val="20"/>
    </w:rPr>
  </w:style>
  <w:style w:type="character" w:styleId="WW8Num27z0">
    <w:name w:val="WW8Num27z0"/>
    <w:qFormat/>
    <w:rPr/>
  </w:style>
  <w:style w:type="character" w:styleId="WW8Num28z0">
    <w:name w:val="WW8Num28z0"/>
    <w:qFormat/>
    <w:rPr>
      <w:rFonts w:ascii="Wingdings" w:hAnsi="Wingdings" w:cs="Wingdings"/>
      <w:b w:val="false"/>
      <w:i w:val="false"/>
      <w:color w:val="auto"/>
      <w:sz w:val="12"/>
      <w:u w:val="none"/>
      <w:vertAlign w:val="superscript"/>
    </w:rPr>
  </w:style>
  <w:style w:type="character" w:styleId="WW8Num29z0">
    <w:name w:val="WW8Num29z0"/>
    <w:qFormat/>
    <w:rPr>
      <w:rFonts w:ascii="Symbol" w:hAnsi="Symbol" w:cs="Symbol"/>
      <w:u w:val="none"/>
      <w:vertAlign w:val="superscript"/>
    </w:rPr>
  </w:style>
  <w:style w:type="character" w:styleId="WW8Num31z0">
    <w:name w:val="WW8Num31z0"/>
    <w:qFormat/>
    <w:rPr>
      <w:rFonts w:ascii="Symbol" w:hAnsi="Symbol" w:cs="Symbol"/>
      <w:b w:val="false"/>
      <w:i w:val="false"/>
      <w:color w:val="auto"/>
      <w:sz w:val="28"/>
      <w:u w:val="none"/>
      <w:vertAlign w:val="superscript"/>
    </w:rPr>
  </w:style>
  <w:style w:type="character" w:styleId="WW8Num32z0">
    <w:name w:val="WW8Num32z0"/>
    <w:qFormat/>
    <w:rPr>
      <w:caps w:val="false"/>
      <w:smallCaps w:val="false"/>
      <w:strike w:val="false"/>
      <w:dstrike w:val="false"/>
      <w:outline w:val="false"/>
      <w:shadow w:val="false"/>
      <w:vanish w:val="false"/>
      <w:color w:val="auto"/>
      <w:kern w:val="0"/>
      <w:position w:val="0"/>
      <w:sz w:val="24"/>
      <w:vertAlign w:val="baseline"/>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u w:val="none"/>
      <w:vertAlign w:val="superscript"/>
    </w:rPr>
  </w:style>
  <w:style w:type="character" w:styleId="WW8Num36z0">
    <w:name w:val="WW8Num36z0"/>
    <w:qFormat/>
    <w:rPr>
      <w:rFonts w:ascii="Wingdings" w:hAnsi="Wingdings" w:cs="Wingdings"/>
      <w:b/>
      <w:i w:val="false"/>
      <w:color w:val="auto"/>
      <w:sz w:val="28"/>
      <w:u w:val="none"/>
    </w:rPr>
  </w:style>
  <w:style w:type="character" w:styleId="WW8Num37z0">
    <w:name w:val="WW8Num37z0"/>
    <w:qFormat/>
    <w:rPr>
      <w:rFonts w:ascii="Wingdings" w:hAnsi="Wingdings" w:cs="Wingdings"/>
    </w:rPr>
  </w:style>
  <w:style w:type="character" w:styleId="WW8Num38z0">
    <w:name w:val="WW8Num38z0"/>
    <w:qFormat/>
    <w:rPr>
      <w:caps w:val="false"/>
      <w:smallCaps w:val="false"/>
      <w:strike w:val="false"/>
      <w:dstrike w:val="false"/>
      <w:outline w:val="false"/>
      <w:shadow w:val="false"/>
      <w:vanish w:val="false"/>
      <w:color w:val="auto"/>
      <w:kern w:val="0"/>
      <w:position w:val="0"/>
      <w:sz w:val="24"/>
      <w:vertAlign w:val="baseline"/>
    </w:rPr>
  </w:style>
  <w:style w:type="character" w:styleId="WW8Num39z0">
    <w:name w:val="WW8Num39z0"/>
    <w:qFormat/>
    <w:rPr>
      <w:rFonts w:ascii="Wingdings" w:hAnsi="Wingdings" w:cs="Wingdings"/>
      <w:b w:val="false"/>
      <w:i w:val="false"/>
      <w:color w:val="auto"/>
      <w:sz w:val="10"/>
      <w:u w:val="none"/>
      <w:vertAlign w:val="superscript"/>
    </w:rPr>
  </w:style>
  <w:style w:type="character" w:styleId="WW8Num40z0">
    <w:name w:val="WW8Num4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41z0">
    <w:name w:val="WW8Num41z0"/>
    <w:qFormat/>
    <w:rPr>
      <w:rFonts w:ascii="Wingdings" w:hAnsi="Wingdings" w:cs="Wingdings"/>
      <w:b w:val="false"/>
      <w:i/>
      <w:color w:val="auto"/>
      <w:sz w:val="16"/>
      <w:u w:val="none"/>
    </w:rPr>
  </w:style>
  <w:style w:type="character" w:styleId="WW8Num43z0">
    <w:name w:val="WW8Num43z0"/>
    <w:qFormat/>
    <w:rPr>
      <w:rFonts w:ascii="Wingdings" w:hAnsi="Wingdings" w:cs="Wingdings"/>
    </w:rPr>
  </w:style>
  <w:style w:type="character" w:styleId="WW8Num47z0">
    <w:name w:val="WW8Num47z0"/>
    <w:qFormat/>
    <w:rPr>
      <w:rFonts w:ascii="Wingdings" w:hAnsi="Wingdings" w:cs="Wingdings"/>
      <w:b w:val="false"/>
      <w:i w:val="false"/>
      <w:color w:val="auto"/>
      <w:sz w:val="10"/>
      <w:u w:val="none"/>
      <w:vertAlign w:val="superscript"/>
    </w:rPr>
  </w:style>
  <w:style w:type="character" w:styleId="WW8Num48z0">
    <w:name w:val="WW8Num48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49z0">
    <w:name w:val="WW8Num49z0"/>
    <w:qFormat/>
    <w:rPr>
      <w:rFonts w:ascii="Wingdings" w:hAnsi="Wingdings" w:cs="Wingdings"/>
      <w:b w:val="false"/>
      <w:i w:val="false"/>
      <w:color w:val="auto"/>
      <w:sz w:val="24"/>
      <w:u w:val="none"/>
    </w:rPr>
  </w:style>
  <w:style w:type="character" w:styleId="WW8Num52z0">
    <w:name w:val="WW8Num52z0"/>
    <w:qFormat/>
    <w:rPr>
      <w:rFonts w:ascii="Symbol" w:hAnsi="Symbol" w:cs="Symbol"/>
      <w:sz w:val="18"/>
    </w:rPr>
  </w:style>
  <w:style w:type="character" w:styleId="WW8Num53z0">
    <w:name w:val="WW8Num53z0"/>
    <w:qFormat/>
    <w:rPr/>
  </w:style>
  <w:style w:type="character" w:styleId="WW8Num56z0">
    <w:name w:val="WW8Num56z0"/>
    <w:qFormat/>
    <w:rPr/>
  </w:style>
  <w:style w:type="character" w:styleId="WW8Num57z0">
    <w:name w:val="WW8Num57z0"/>
    <w:qFormat/>
    <w:rPr>
      <w:rFonts w:ascii="Wingdings" w:hAnsi="Wingdings" w:cs="Wingdings"/>
      <w:b w:val="false"/>
      <w:i w:val="false"/>
      <w:color w:val="auto"/>
      <w:sz w:val="20"/>
      <w:u w:val="none"/>
    </w:rPr>
  </w:style>
  <w:style w:type="character" w:styleId="WW8Num59z0">
    <w:name w:val="WW8Num59z0"/>
    <w:qFormat/>
    <w:rPr/>
  </w:style>
  <w:style w:type="character" w:styleId="WW8Num62z0">
    <w:name w:val="WW8Num62z0"/>
    <w:qFormat/>
    <w:rPr/>
  </w:style>
  <w:style w:type="character" w:styleId="WW8Num64z0">
    <w:name w:val="WW8Num64z0"/>
    <w:qFormat/>
    <w:rPr>
      <w:rFonts w:ascii="Wingdings" w:hAnsi="Wingdings" w:cs="Wingdings"/>
    </w:rPr>
  </w:style>
  <w:style w:type="character" w:styleId="WW8Num66z0">
    <w:name w:val="WW8Num66z0"/>
    <w:qFormat/>
    <w:rPr>
      <w:rFonts w:ascii="Wingdings" w:hAnsi="Wingdings" w:cs="Wingdings"/>
      <w:b w:val="false"/>
      <w:i w:val="false"/>
      <w:color w:val="auto"/>
      <w:sz w:val="24"/>
    </w:rPr>
  </w:style>
  <w:style w:type="character" w:styleId="WW8Num67z0">
    <w:name w:val="WW8Num67z0"/>
    <w:qFormat/>
    <w:rPr>
      <w:rFonts w:ascii="Wingdings" w:hAnsi="Wingdings" w:cs="Wingdings"/>
      <w:sz w:val="28"/>
    </w:rPr>
  </w:style>
  <w:style w:type="character" w:styleId="WW8Num68z0">
    <w:name w:val="WW8Num68z0"/>
    <w:qFormat/>
    <w:rPr>
      <w:rFonts w:ascii="Wingdings" w:hAnsi="Wingdings" w:cs="Wingdings"/>
      <w:color w:val="auto"/>
      <w:sz w:val="20"/>
    </w:rPr>
  </w:style>
  <w:style w:type="character" w:styleId="WW8Num69z0">
    <w:name w:val="WW8Num69z0"/>
    <w:qFormat/>
    <w:rPr>
      <w:rFonts w:ascii="Symbol" w:hAnsi="Symbol" w:cs="Symbol"/>
    </w:rPr>
  </w:style>
  <w:style w:type="character" w:styleId="WW8Num70z0">
    <w:name w:val="WW8Num70z0"/>
    <w:qFormat/>
    <w:rPr>
      <w:rFonts w:ascii="Wingdings" w:hAnsi="Wingdings" w:cs="Wingdings"/>
      <w:b w:val="false"/>
      <w:i w:val="false"/>
      <w:color w:val="auto"/>
      <w:sz w:val="28"/>
      <w:u w:val="none"/>
      <w:vertAlign w:val="superscript"/>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b w:val="false"/>
      <w:i w:val="false"/>
      <w:color w:val="auto"/>
      <w:sz w:val="28"/>
      <w:u w:val="none"/>
    </w:rPr>
  </w:style>
  <w:style w:type="character" w:styleId="WW8Num73z0">
    <w:name w:val="WW8Num7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74z0">
    <w:name w:val="WW8Num74z0"/>
    <w:qFormat/>
    <w:rPr>
      <w:rFonts w:ascii="Wingdings" w:hAnsi="Wingdings" w:cs="Wingdings"/>
      <w:b w:val="false"/>
      <w:i w:val="false"/>
      <w:color w:val="auto"/>
      <w:sz w:val="20"/>
      <w:u w:val="none"/>
    </w:rPr>
  </w:style>
  <w:style w:type="character" w:styleId="WW8Num75z0">
    <w:name w:val="WW8Num75z0"/>
    <w:qFormat/>
    <w:rPr>
      <w:rFonts w:ascii="Wingdings" w:hAnsi="Wingdings" w:cs="Wingdings"/>
      <w:b w:val="false"/>
      <w:i/>
      <w:color w:val="auto"/>
      <w:sz w:val="16"/>
      <w:u w:val="none"/>
    </w:rPr>
  </w:style>
  <w:style w:type="character" w:styleId="WW8Num76z0">
    <w:name w:val="WW8Num76z0"/>
    <w:qFormat/>
    <w:rPr>
      <w:rFonts w:ascii="Wingdings" w:hAnsi="Wingdings" w:cs="Wingdings"/>
      <w:sz w:val="16"/>
    </w:rPr>
  </w:style>
  <w:style w:type="character" w:styleId="WW8Num77z0">
    <w:name w:val="WW8Num77z0"/>
    <w:qFormat/>
    <w:rPr>
      <w:rFonts w:ascii="Wingdings" w:hAnsi="Wingdings" w:cs="Wingdings"/>
    </w:rPr>
  </w:style>
  <w:style w:type="character" w:styleId="WW8Num78z0">
    <w:name w:val="WW8Num78z0"/>
    <w:qFormat/>
    <w:rPr/>
  </w:style>
  <w:style w:type="character" w:styleId="WW8Num82z0">
    <w:name w:val="WW8Num82z0"/>
    <w:qFormat/>
    <w:rPr>
      <w:rFonts w:ascii="Wingdings" w:hAnsi="Wingdings" w:cs="Wingdings"/>
      <w:b w:val="false"/>
      <w:i w:val="false"/>
      <w:color w:val="auto"/>
      <w:sz w:val="10"/>
      <w:u w:val="none"/>
      <w:vertAlign w:val="superscript"/>
    </w:rPr>
  </w:style>
  <w:style w:type="character" w:styleId="WW8Num83z0">
    <w:name w:val="WW8Num83z0"/>
    <w:qFormat/>
    <w:rPr>
      <w:rFonts w:ascii="Wingdings" w:hAnsi="Wingdings" w:cs="Wingdings"/>
      <w:b w:val="false"/>
      <w:i w:val="false"/>
      <w:color w:val="auto"/>
      <w:sz w:val="12"/>
      <w:u w:val="none"/>
      <w:vertAlign w:val="superscript"/>
    </w:rPr>
  </w:style>
  <w:style w:type="character" w:styleId="WW8Num86z0">
    <w:name w:val="WW8Num86z0"/>
    <w:qFormat/>
    <w:rPr/>
  </w:style>
  <w:style w:type="character" w:styleId="WW8Num87z0">
    <w:name w:val="WW8Num87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88z0">
    <w:name w:val="WW8Num88z0"/>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b w:val="false"/>
      <w:i/>
      <w:color w:val="auto"/>
      <w:sz w:val="16"/>
      <w:u w:val="none"/>
    </w:rPr>
  </w:style>
  <w:style w:type="character" w:styleId="WW8Num93z0">
    <w:name w:val="WW8Num93z0"/>
    <w:qFormat/>
    <w:rPr>
      <w:rFonts w:ascii="Wingdings" w:hAnsi="Wingdings" w:cs="Wingdings"/>
      <w:b w:val="false"/>
      <w:i w:val="false"/>
      <w:color w:val="auto"/>
      <w:sz w:val="12"/>
      <w:u w:val="none"/>
      <w:vertAlign w:val="superscript"/>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b w:val="false"/>
      <w:i/>
      <w:color w:val="auto"/>
      <w:sz w:val="16"/>
      <w:u w:val="none"/>
    </w:rPr>
  </w:style>
  <w:style w:type="character" w:styleId="WW8Num97z0">
    <w:name w:val="WW8Num97z0"/>
    <w:qFormat/>
    <w:rPr>
      <w:rFonts w:ascii="Symbol" w:hAnsi="Symbol" w:cs="Symbol"/>
    </w:rPr>
  </w:style>
  <w:style w:type="character" w:styleId="WW8Num98z0">
    <w:name w:val="WW8Num98z0"/>
    <w:qFormat/>
    <w:rPr>
      <w:rFonts w:ascii="Wingdings" w:hAnsi="Wingdings" w:cs="Wingdings"/>
      <w:sz w:val="20"/>
    </w:rPr>
  </w:style>
  <w:style w:type="character" w:styleId="WW8Num100z0">
    <w:name w:val="WW8Num100z0"/>
    <w:qFormat/>
    <w:rPr>
      <w:rFonts w:ascii="Symbol" w:hAnsi="Symbol" w:cs="Symbol"/>
      <w:color w:val="auto"/>
      <w:position w:val="0"/>
      <w:sz w:val="24"/>
      <w:u w:val="none"/>
      <w:vertAlign w:val="baseline"/>
    </w:rPr>
  </w:style>
  <w:style w:type="character" w:styleId="WW8Num101z0">
    <w:name w:val="WW8Num101z0"/>
    <w:qFormat/>
    <w:rPr/>
  </w:style>
  <w:style w:type="character" w:styleId="WW8Num104z0">
    <w:name w:val="WW8Num104z0"/>
    <w:qFormat/>
    <w:rPr>
      <w:rFonts w:ascii="Wingdings" w:hAnsi="Wingdings" w:cs="Wingdings"/>
    </w:rPr>
  </w:style>
  <w:style w:type="character" w:styleId="WW8Num107z0">
    <w:name w:val="WW8Num107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08z0">
    <w:name w:val="WW8Num108z0"/>
    <w:qFormat/>
    <w:rPr>
      <w:rFonts w:ascii="Wingdings" w:hAnsi="Wingdings" w:cs="Wingdings"/>
    </w:rPr>
  </w:style>
  <w:style w:type="character" w:styleId="WW8Num109z0">
    <w:name w:val="WW8Num109z0"/>
    <w:qFormat/>
    <w:rPr>
      <w:rFonts w:ascii="Wingdings" w:hAnsi="Wingdings" w:cs="Wingdings"/>
      <w:b w:val="false"/>
      <w:i w:val="false"/>
      <w:color w:val="auto"/>
      <w:sz w:val="28"/>
      <w:u w:val="none"/>
      <w:vertAlign w:val="superscript"/>
    </w:rPr>
  </w:style>
  <w:style w:type="character" w:styleId="WW8Num110z0">
    <w:name w:val="WW8Num110z0"/>
    <w:qFormat/>
    <w:rPr>
      <w:rFonts w:ascii="Wingdings" w:hAnsi="Wingdings" w:cs="Wingdings"/>
      <w:b w:val="false"/>
      <w:i w:val="false"/>
      <w:color w:val="auto"/>
      <w:sz w:val="10"/>
      <w:u w:val="none"/>
      <w:vertAlign w:val="superscript"/>
    </w:rPr>
  </w:style>
  <w:style w:type="character" w:styleId="WW8Num111z0">
    <w:name w:val="WW8Num111z0"/>
    <w:qFormat/>
    <w:rPr>
      <w:rFonts w:ascii="Wingdings" w:hAnsi="Wingdings" w:cs="Wingdings"/>
      <w:b w:val="false"/>
      <w:i w:val="false"/>
      <w:color w:val="auto"/>
      <w:sz w:val="28"/>
      <w:u w:val="none"/>
    </w:rPr>
  </w:style>
  <w:style w:type="character" w:styleId="WW8Num113z0">
    <w:name w:val="WW8Num113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style>
  <w:style w:type="character" w:styleId="WW8Num115z0">
    <w:name w:val="WW8Num115z0"/>
    <w:qFormat/>
    <w:rPr>
      <w:rFonts w:ascii="Wingdings" w:hAnsi="Wingdings" w:cs="Wingdings"/>
    </w:rPr>
  </w:style>
  <w:style w:type="character" w:styleId="WW8Num117z0">
    <w:name w:val="WW8Num117z0"/>
    <w:qFormat/>
    <w:rPr>
      <w:rFonts w:ascii="Wingdings" w:hAnsi="Wingdings" w:cs="Wingdings"/>
      <w:color w:val="auto"/>
    </w:rPr>
  </w:style>
  <w:style w:type="character" w:styleId="WW8Num118z0">
    <w:name w:val="WW8Num118z0"/>
    <w:qFormat/>
    <w:rPr>
      <w:caps w:val="false"/>
      <w:smallCaps w:val="false"/>
      <w:strike w:val="false"/>
      <w:dstrike w:val="false"/>
      <w:outline w:val="false"/>
      <w:shadow w:val="false"/>
      <w:vanish w:val="false"/>
      <w:color w:val="auto"/>
      <w:kern w:val="0"/>
      <w:position w:val="0"/>
      <w:sz w:val="24"/>
      <w:vertAlign w:val="baseline"/>
    </w:rPr>
  </w:style>
  <w:style w:type="character" w:styleId="WW8Num119z0">
    <w:name w:val="WW8Num119z0"/>
    <w:qFormat/>
    <w:rPr>
      <w:rFonts w:ascii="Wingdings" w:hAnsi="Wingdings" w:cs="Wingdings"/>
      <w:b w:val="false"/>
      <w:i/>
      <w:color w:val="auto"/>
      <w:sz w:val="16"/>
      <w:u w:val="none"/>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rFonts w:ascii="Wingdings" w:hAnsi="Wingdings" w:cs="Wingdings"/>
      <w:sz w:val="16"/>
    </w:rPr>
  </w:style>
  <w:style w:type="character" w:styleId="WW8Num130z0">
    <w:name w:val="WW8Num130z0"/>
    <w:qFormat/>
    <w:rPr>
      <w:rFonts w:ascii="Wingdings" w:hAnsi="Wingdings" w:cs="Wingdings"/>
      <w:color w:val="auto"/>
      <w:sz w:val="20"/>
    </w:rPr>
  </w:style>
  <w:style w:type="character" w:styleId="WW8Num131z0">
    <w:name w:val="WW8Num131z0"/>
    <w:qFormat/>
    <w:rPr>
      <w:rFonts w:ascii="Arial" w:hAnsi="Arial" w:cs="Arial"/>
      <w:b/>
      <w:i/>
      <w:color w:val="auto"/>
      <w:sz w:val="24"/>
      <w:u w:val="none"/>
    </w:rPr>
  </w:style>
  <w:style w:type="character" w:styleId="WW8Num133z0">
    <w:name w:val="WW8Num133z0"/>
    <w:qFormat/>
    <w:rPr>
      <w:rFonts w:ascii="Symbol" w:hAnsi="Symbol" w:cs="Symbol"/>
    </w:rPr>
  </w:style>
  <w:style w:type="character" w:styleId="WW8Num135z0">
    <w:name w:val="WW8Num13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37z0">
    <w:name w:val="WW8Num137z0"/>
    <w:qFormat/>
    <w:rPr/>
  </w:style>
  <w:style w:type="character" w:styleId="WW8Num139z0">
    <w:name w:val="WW8Num139z0"/>
    <w:qFormat/>
    <w:rPr>
      <w:rFonts w:ascii="Wingdings" w:hAnsi="Wingdings" w:cs="Wingdings"/>
    </w:rPr>
  </w:style>
  <w:style w:type="character" w:styleId="WW8Num143z0">
    <w:name w:val="WW8Num143z0"/>
    <w:qFormat/>
    <w:rPr>
      <w:rFonts w:ascii="Wingdings" w:hAnsi="Wingdings" w:cs="Wingdings"/>
    </w:rPr>
  </w:style>
  <w:style w:type="character" w:styleId="WW8Num144z0">
    <w:name w:val="WW8Num144z0"/>
    <w:qFormat/>
    <w:rPr>
      <w:rFonts w:ascii="Wingdings" w:hAnsi="Wingdings" w:cs="Wingdings"/>
    </w:rPr>
  </w:style>
  <w:style w:type="character" w:styleId="WW8Num147z0">
    <w:name w:val="WW8Num147z0"/>
    <w:qFormat/>
    <w:rPr/>
  </w:style>
  <w:style w:type="character" w:styleId="WW8Num151z0">
    <w:name w:val="WW8Num151z0"/>
    <w:qFormat/>
    <w:rPr>
      <w:rFonts w:ascii="Symbol" w:hAnsi="Symbol" w:cs="Symbol"/>
      <w:sz w:val="12"/>
    </w:rPr>
  </w:style>
  <w:style w:type="character" w:styleId="WW8Num153z0">
    <w:name w:val="WW8Num153z0"/>
    <w:qFormat/>
    <w:rPr>
      <w:rFonts w:ascii="Wingdings" w:hAnsi="Wingdings" w:cs="Wingdings"/>
      <w:sz w:val="16"/>
    </w:rPr>
  </w:style>
  <w:style w:type="character" w:styleId="WW8Num154z0">
    <w:name w:val="WW8Num154z0"/>
    <w:qFormat/>
    <w:rPr/>
  </w:style>
  <w:style w:type="character" w:styleId="WW8Num155z0">
    <w:name w:val="WW8Num155z0"/>
    <w:qFormat/>
    <w:rPr>
      <w:caps w:val="false"/>
      <w:smallCaps w:val="false"/>
      <w:strike w:val="false"/>
      <w:dstrike w:val="false"/>
      <w:outline w:val="false"/>
      <w:shadow w:val="false"/>
      <w:vanish w:val="false"/>
      <w:color w:val="auto"/>
      <w:kern w:val="0"/>
      <w:position w:val="0"/>
      <w:sz w:val="24"/>
      <w:vertAlign w:val="baseline"/>
    </w:rPr>
  </w:style>
  <w:style w:type="character" w:styleId="WW8Num156z0">
    <w:name w:val="WW8Num156z0"/>
    <w:qFormat/>
    <w:rPr>
      <w:rFonts w:ascii="Wingdings" w:hAnsi="Wingdings" w:cs="Wingdings"/>
      <w:sz w:val="16"/>
    </w:rPr>
  </w:style>
  <w:style w:type="character" w:styleId="WW8Num159z0">
    <w:name w:val="WW8Num159z0"/>
    <w:qFormat/>
    <w:rPr>
      <w:rFonts w:ascii="Wingdings" w:hAnsi="Wingdings" w:cs="Wingdings"/>
      <w:b/>
      <w:i/>
      <w:sz w:val="24"/>
    </w:rPr>
  </w:style>
  <w:style w:type="character" w:styleId="WW8Num161z0">
    <w:name w:val="WW8Num161z0"/>
    <w:qFormat/>
    <w:rPr>
      <w:rFonts w:ascii="Wingdings" w:hAnsi="Wingdings" w:cs="Wingdings"/>
    </w:rPr>
  </w:style>
  <w:style w:type="character" w:styleId="WW8Num163z0">
    <w:name w:val="WW8Num163z0"/>
    <w:qFormat/>
    <w:rPr>
      <w:rFonts w:ascii="Wingdings" w:hAnsi="Wingdings" w:cs="Wingdings"/>
      <w:color w:val="auto"/>
      <w:sz w:val="20"/>
    </w:rPr>
  </w:style>
  <w:style w:type="character" w:styleId="WW8Num164z0">
    <w:name w:val="WW8Num164z0"/>
    <w:qFormat/>
    <w:rPr>
      <w:rFonts w:ascii="Wingdings" w:hAnsi="Wingdings" w:cs="Wingdings"/>
      <w:b w:val="false"/>
      <w:i w:val="false"/>
      <w:color w:val="auto"/>
      <w:sz w:val="10"/>
      <w:u w:val="none"/>
      <w:vertAlign w:val="superscript"/>
    </w:rPr>
  </w:style>
  <w:style w:type="character" w:styleId="WW8Num165z0">
    <w:name w:val="WW8Num165z0"/>
    <w:qFormat/>
    <w:rPr/>
  </w:style>
  <w:style w:type="character" w:styleId="WW8Num166z0">
    <w:name w:val="WW8Num166z0"/>
    <w:qFormat/>
    <w:rPr>
      <w:rFonts w:ascii="Wingdings" w:hAnsi="Wingdings" w:cs="Wingdings"/>
      <w:b w:val="false"/>
      <w:i w:val="false"/>
      <w:color w:val="auto"/>
      <w:sz w:val="28"/>
      <w:u w:val="none"/>
    </w:rPr>
  </w:style>
  <w:style w:type="character" w:styleId="WW8Num168z0">
    <w:name w:val="WW8Num168z0"/>
    <w:qFormat/>
    <w:rPr>
      <w:rFonts w:ascii="Wingdings" w:hAnsi="Wingdings" w:cs="Wingdings"/>
    </w:rPr>
  </w:style>
  <w:style w:type="character" w:styleId="WW8Num169z0">
    <w:name w:val="WW8Num169z0"/>
    <w:qFormat/>
    <w:rPr>
      <w:rFonts w:ascii="Wingdings" w:hAnsi="Wingdings" w:cs="Wingdings"/>
    </w:rPr>
  </w:style>
  <w:style w:type="character" w:styleId="WW8Num170z0">
    <w:name w:val="WW8Num170z0"/>
    <w:qFormat/>
    <w:rPr>
      <w:rFonts w:ascii="Wingdings" w:hAnsi="Wingdings" w:cs="Wingdings"/>
    </w:rPr>
  </w:style>
  <w:style w:type="character" w:styleId="WW8Num171z0">
    <w:name w:val="WW8Num171z0"/>
    <w:qFormat/>
    <w:rPr>
      <w:rFonts w:ascii="Wingdings" w:hAnsi="Wingdings" w:cs="Wingdings"/>
      <w:b w:val="false"/>
      <w:i/>
      <w:color w:val="auto"/>
      <w:sz w:val="16"/>
      <w:u w:val="none"/>
    </w:rPr>
  </w:style>
  <w:style w:type="character" w:styleId="WW8Num173z0">
    <w:name w:val="WW8Num173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75z0">
    <w:name w:val="WW8Num175z0"/>
    <w:qFormat/>
    <w:rPr/>
  </w:style>
  <w:style w:type="character" w:styleId="WW8Num176z0">
    <w:name w:val="WW8Num176z0"/>
    <w:qFormat/>
    <w:rPr>
      <w:rFonts w:ascii="Symbol" w:hAnsi="Symbol" w:cs="Symbol"/>
      <w:u w:val="none"/>
      <w:vertAlign w:val="superscript"/>
    </w:rPr>
  </w:style>
  <w:style w:type="character" w:styleId="WW8Num177z0">
    <w:name w:val="WW8Num177z0"/>
    <w:qFormat/>
    <w:rPr>
      <w:rFonts w:ascii="Wingdings" w:hAnsi="Wingdings" w:cs="Wingdings"/>
      <w:b w:val="false"/>
      <w:i w:val="false"/>
      <w:color w:val="auto"/>
      <w:sz w:val="20"/>
      <w:u w:val="none"/>
      <w:vertAlign w:val="superscrip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vertAlign w:val="superscript"/>
    </w:rPr>
  </w:style>
  <w:style w:type="character" w:styleId="WW8Num183z0">
    <w:name w:val="WW8Num183z0"/>
    <w:qFormat/>
    <w:rPr>
      <w:rFonts w:ascii="Wingdings" w:hAnsi="Wingdings" w:cs="Wingdings"/>
      <w:b w:val="false"/>
      <w:i w:val="false"/>
      <w:color w:val="auto"/>
      <w:sz w:val="20"/>
      <w:u w:val="none"/>
      <w:vertAlign w:val="superscript"/>
    </w:rPr>
  </w:style>
  <w:style w:type="character" w:styleId="WW8Num184z0">
    <w:name w:val="WW8Num184z0"/>
    <w:qFormat/>
    <w:rPr>
      <w:rFonts w:ascii="Wingdings" w:hAnsi="Wingdings" w:cs="Wingdings"/>
    </w:rPr>
  </w:style>
  <w:style w:type="character" w:styleId="WW8Num185z0">
    <w:name w:val="WW8Num185z0"/>
    <w:qFormat/>
    <w:rPr>
      <w:caps w:val="false"/>
      <w:smallCaps w:val="false"/>
      <w:strike w:val="false"/>
      <w:dstrike w:val="false"/>
      <w:outline w:val="false"/>
      <w:shadow w:val="false"/>
      <w:vanish w:val="false"/>
      <w:color w:val="auto"/>
      <w:kern w:val="0"/>
      <w:position w:val="0"/>
      <w:sz w:val="24"/>
      <w:vertAlign w:val="baseline"/>
    </w:rPr>
  </w:style>
  <w:style w:type="character" w:styleId="WW8Num186z0">
    <w:name w:val="WW8Num186z0"/>
    <w:qFormat/>
    <w:rPr>
      <w:caps w:val="false"/>
      <w:smallCaps w:val="false"/>
      <w:strike w:val="false"/>
      <w:dstrike w:val="false"/>
      <w:outline w:val="false"/>
      <w:shadow w:val="false"/>
      <w:vanish w:val="false"/>
      <w:color w:val="auto"/>
      <w:kern w:val="0"/>
      <w:position w:val="0"/>
      <w:sz w:val="24"/>
      <w:vertAlign w:val="baseline"/>
    </w:rPr>
  </w:style>
  <w:style w:type="character" w:styleId="WW8Num188z0">
    <w:name w:val="WW8Num188z0"/>
    <w:qFormat/>
    <w:rPr>
      <w:rFonts w:ascii="Wingdings" w:hAnsi="Wingdings" w:cs="Wingdings"/>
      <w:b w:val="false"/>
      <w:i w:val="false"/>
      <w:sz w:val="10"/>
      <w:vertAlign w:val="superscript"/>
    </w:rPr>
  </w:style>
  <w:style w:type="character" w:styleId="WW8Num189z0">
    <w:name w:val="WW8Num189z0"/>
    <w:qFormat/>
    <w:rPr>
      <w:rFonts w:ascii="Wingdings" w:hAnsi="Wingdings" w:cs="Wingdings"/>
    </w:rPr>
  </w:style>
  <w:style w:type="character" w:styleId="WW8Num190z0">
    <w:name w:val="WW8Num190z0"/>
    <w:qFormat/>
    <w:rPr>
      <w:rFonts w:ascii="Wingdings" w:hAnsi="Wingdings" w:cs="Wingdings"/>
      <w:b w:val="false"/>
      <w:i/>
      <w:color w:val="auto"/>
      <w:sz w:val="16"/>
      <w:u w:val="none"/>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Wingdings" w:hAnsi="Wingdings" w:cs="Wingdings"/>
      <w:b w:val="false"/>
      <w:i w:val="false"/>
      <w:color w:val="auto"/>
      <w:sz w:val="16"/>
      <w:u w:val="none"/>
    </w:rPr>
  </w:style>
  <w:style w:type="character" w:styleId="WW8Num196z0">
    <w:name w:val="WW8Num196z0"/>
    <w:qFormat/>
    <w:rPr>
      <w:rFonts w:ascii="Wingdings" w:hAnsi="Wingdings" w:cs="Wingdings"/>
      <w:b w:val="false"/>
      <w:i w:val="false"/>
      <w:color w:val="auto"/>
      <w:sz w:val="24"/>
    </w:rPr>
  </w:style>
  <w:style w:type="character" w:styleId="WW8Num197z0">
    <w:name w:val="WW8Num19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98z0">
    <w:name w:val="WW8Num198z0"/>
    <w:qFormat/>
    <w:rPr/>
  </w:style>
  <w:style w:type="character" w:styleId="WW8Num199z0">
    <w:name w:val="WW8Num199z0"/>
    <w:qFormat/>
    <w:rPr>
      <w:rFonts w:ascii="Wingdings" w:hAnsi="Wingdings" w:cs="Wingdings"/>
      <w:b/>
      <w:i/>
      <w:sz w:val="24"/>
    </w:rPr>
  </w:style>
  <w:style w:type="character" w:styleId="WW8Num200z0">
    <w:name w:val="WW8Num200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203z0">
    <w:name w:val="WW8Num203z0"/>
    <w:qFormat/>
    <w:rPr>
      <w:rFonts w:ascii="Wingdings" w:hAnsi="Wingdings" w:cs="Wingdings"/>
      <w:b w:val="false"/>
      <w:i w:val="false"/>
      <w:color w:val="auto"/>
      <w:sz w:val="10"/>
      <w:u w:val="none"/>
      <w:vertAlign w:val="superscript"/>
    </w:rPr>
  </w:style>
  <w:style w:type="character" w:styleId="WW8Num205z0">
    <w:name w:val="WW8Num205z0"/>
    <w:qFormat/>
    <w:rPr>
      <w:rFonts w:ascii="Wingdings" w:hAnsi="Wingdings" w:cs="Wingdings"/>
      <w:b w:val="false"/>
      <w:i w:val="false"/>
      <w:color w:val="auto"/>
      <w:sz w:val="10"/>
      <w:u w:val="none"/>
      <w:vertAlign w:val="superscript"/>
    </w:rPr>
  </w:style>
  <w:style w:type="character" w:styleId="WW8Num206z0">
    <w:name w:val="WW8Num206z0"/>
    <w:qFormat/>
    <w:rPr>
      <w:rFonts w:ascii="Symbol" w:hAnsi="Symbol" w:cs="Symbol"/>
      <w:color w:val="auto"/>
      <w:u w:val="none"/>
      <w:vertAlign w:val="superscript"/>
    </w:rPr>
  </w:style>
  <w:style w:type="character" w:styleId="WW8Num209z0">
    <w:name w:val="WW8Num209z0"/>
    <w:qFormat/>
    <w:rPr/>
  </w:style>
  <w:style w:type="character" w:styleId="WW8Num213z0">
    <w:name w:val="WW8Num213z0"/>
    <w:qFormat/>
    <w:rPr>
      <w:rFonts w:ascii="Wingdings" w:hAnsi="Wingdings" w:cs="Wingdings"/>
      <w:b/>
      <w:i/>
      <w:sz w:val="24"/>
    </w:rPr>
  </w:style>
  <w:style w:type="character" w:styleId="WW8Num215z0">
    <w:name w:val="WW8Num215z0"/>
    <w:qFormat/>
    <w:rPr>
      <w:rFonts w:ascii="Wingdings" w:hAnsi="Wingdings" w:cs="Wingdings"/>
      <w:b w:val="false"/>
      <w:i w:val="false"/>
      <w:color w:val="auto"/>
      <w:sz w:val="20"/>
      <w:vertAlign w:val="superscript"/>
    </w:rPr>
  </w:style>
  <w:style w:type="character" w:styleId="WW8Num216z0">
    <w:name w:val="WW8Num216z0"/>
    <w:qFormat/>
    <w:rPr>
      <w:rFonts w:ascii="Wingdings" w:hAnsi="Wingdings" w:cs="Wingdings"/>
      <w:sz w:val="16"/>
    </w:rPr>
  </w:style>
  <w:style w:type="character" w:styleId="WW8Num217z0">
    <w:name w:val="WW8Num217z0"/>
    <w:qFormat/>
    <w:rPr>
      <w:rFonts w:ascii="Wingdings" w:hAnsi="Wingdings" w:cs="Wingdings"/>
      <w:sz w:val="16"/>
    </w:rPr>
  </w:style>
  <w:style w:type="character" w:styleId="WW8Num218z0">
    <w:name w:val="WW8Num218z0"/>
    <w:qFormat/>
    <w:rPr>
      <w:rFonts w:ascii="Wingdings" w:hAnsi="Wingdings" w:cs="Wingdings"/>
      <w:b w:val="false"/>
      <w:i w:val="false"/>
      <w:color w:val="auto"/>
      <w:sz w:val="28"/>
      <w:u w:val="none"/>
      <w:vertAlign w:val="superscript"/>
    </w:rPr>
  </w:style>
  <w:style w:type="character" w:styleId="WW8Num220z0">
    <w:name w:val="WW8Num220z0"/>
    <w:qFormat/>
    <w:rPr>
      <w:rFonts w:ascii="Wingdings" w:hAnsi="Wingdings" w:cs="Wingdings"/>
      <w:b w:val="false"/>
      <w:i/>
      <w:color w:val="auto"/>
      <w:sz w:val="16"/>
      <w:u w:val="none"/>
    </w:rPr>
  </w:style>
  <w:style w:type="character" w:styleId="WW8Num222z0">
    <w:name w:val="WW8Num222z0"/>
    <w:qFormat/>
    <w:rPr>
      <w:rFonts w:ascii="Symbol" w:hAnsi="Symbol" w:cs="Symbol"/>
    </w:rPr>
  </w:style>
  <w:style w:type="character" w:styleId="WW8Num223z0">
    <w:name w:val="WW8Num223z0"/>
    <w:qFormat/>
    <w:rPr/>
  </w:style>
  <w:style w:type="character" w:styleId="WW8Num226z0">
    <w:name w:val="WW8Num226z0"/>
    <w:qFormat/>
    <w:rPr>
      <w:rFonts w:ascii="Symbol" w:hAnsi="Symbol" w:cs="Symbol"/>
    </w:rPr>
  </w:style>
  <w:style w:type="character" w:styleId="WW8Num227z0">
    <w:name w:val="WW8Num227z0"/>
    <w:qFormat/>
    <w:rPr>
      <w:rFonts w:ascii="Wingdings" w:hAnsi="Wingdings" w:cs="Wingdings"/>
    </w:rPr>
  </w:style>
  <w:style w:type="character" w:styleId="WW8Num228z0">
    <w:name w:val="WW8Num228z0"/>
    <w:qFormat/>
    <w:rPr>
      <w:caps w:val="false"/>
      <w:smallCaps w:val="false"/>
      <w:strike w:val="false"/>
      <w:dstrike w:val="false"/>
      <w:outline w:val="false"/>
      <w:shadow w:val="false"/>
      <w:vanish w:val="false"/>
      <w:color w:val="auto"/>
      <w:kern w:val="0"/>
      <w:position w:val="0"/>
      <w:sz w:val="24"/>
      <w:vertAlign w:val="baseline"/>
    </w:rPr>
  </w:style>
  <w:style w:type="character" w:styleId="WW8Num230z0">
    <w:name w:val="WW8Num230z0"/>
    <w:qFormat/>
    <w:rPr>
      <w:rFonts w:ascii="Times New Roman" w:hAnsi="Times New Roman" w:cs="Times New Roman"/>
      <w:b/>
      <w:i/>
      <w:sz w:val="24"/>
    </w:rPr>
  </w:style>
  <w:style w:type="character" w:styleId="WW8Num231z0">
    <w:name w:val="WW8Num231z0"/>
    <w:qFormat/>
    <w:rPr/>
  </w:style>
  <w:style w:type="character" w:styleId="WW8Num232z0">
    <w:name w:val="WW8Num232z0"/>
    <w:qFormat/>
    <w:rPr>
      <w:rFonts w:ascii="Arial" w:hAnsi="Arial" w:cs="Arial"/>
      <w:b w:val="false"/>
      <w:i w:val="false"/>
      <w:color w:val="auto"/>
      <w:sz w:val="16"/>
      <w:u w:val="none"/>
    </w:rPr>
  </w:style>
  <w:style w:type="character" w:styleId="WW8Num233z0">
    <w:name w:val="WW8Num233z0"/>
    <w:qFormat/>
    <w:rPr>
      <w:rFonts w:ascii="Wingdings" w:hAnsi="Wingdings" w:cs="Wingdings"/>
    </w:rPr>
  </w:style>
  <w:style w:type="character" w:styleId="WW8Num238z0">
    <w:name w:val="WW8Num238z0"/>
    <w:qFormat/>
    <w:rPr>
      <w:rFonts w:ascii="Wingdings" w:hAnsi="Wingdings" w:cs="Wingdings"/>
      <w:b/>
      <w:i/>
      <w:sz w:val="24"/>
    </w:rPr>
  </w:style>
  <w:style w:type="character" w:styleId="WW8Num239z0">
    <w:name w:val="WW8Num239z0"/>
    <w:qFormat/>
    <w:rPr>
      <w:rFonts w:ascii="Symbol" w:hAnsi="Symbol" w:cs="Symbol"/>
    </w:rPr>
  </w:style>
  <w:style w:type="character" w:styleId="WW8Num240z0">
    <w:name w:val="WW8Num240z0"/>
    <w:qFormat/>
    <w:rPr>
      <w:rFonts w:ascii="Symbol" w:hAnsi="Symbol" w:cs="Symbol"/>
      <w:u w:val="none"/>
      <w:vertAlign w:val="superscript"/>
    </w:rPr>
  </w:style>
  <w:style w:type="character" w:styleId="WW8Num243z0">
    <w:name w:val="WW8Num243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44z0">
    <w:name w:val="WW8Num24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45z0">
    <w:name w:val="WW8Num245z0"/>
    <w:qFormat/>
    <w:rPr/>
  </w:style>
  <w:style w:type="character" w:styleId="WW8Num248z0">
    <w:name w:val="WW8Num248z0"/>
    <w:qFormat/>
    <w:rPr/>
  </w:style>
  <w:style w:type="character" w:styleId="WW8Num249z0">
    <w:name w:val="WW8Num249z0"/>
    <w:qFormat/>
    <w:rPr>
      <w:rFonts w:ascii="Wingdings" w:hAnsi="Wingdings" w:cs="Wingdings"/>
      <w:b w:val="false"/>
      <w:i w:val="false"/>
      <w:color w:val="auto"/>
      <w:sz w:val="20"/>
      <w:u w:val="none"/>
    </w:rPr>
  </w:style>
  <w:style w:type="character" w:styleId="WW8Num253z0">
    <w:name w:val="WW8Num253z0"/>
    <w:qFormat/>
    <w:rPr>
      <w:rFonts w:ascii="Symbol" w:hAnsi="Symbol" w:cs="Symbol"/>
      <w:sz w:val="12"/>
    </w:rPr>
  </w:style>
  <w:style w:type="character" w:styleId="WW8Num254z0">
    <w:name w:val="WW8Num254z0"/>
    <w:qFormat/>
    <w:rPr/>
  </w:style>
  <w:style w:type="character" w:styleId="WW8Num255z0">
    <w:name w:val="WW8Num255z0"/>
    <w:qFormat/>
    <w:rPr>
      <w:rFonts w:ascii="Wingdings" w:hAnsi="Wingdings" w:cs="Wingdings"/>
      <w:sz w:val="10"/>
    </w:rPr>
  </w:style>
  <w:style w:type="character" w:styleId="WW8Num258z0">
    <w:name w:val="WW8Num258z0"/>
    <w:qFormat/>
    <w:rPr>
      <w:rFonts w:ascii="Wingdings" w:hAnsi="Wingdings" w:cs="Wingdings"/>
      <w:b w:val="false"/>
      <w:i w:val="false"/>
      <w:color w:val="auto"/>
      <w:sz w:val="10"/>
      <w:u w:val="none"/>
      <w:vertAlign w:val="superscript"/>
    </w:rPr>
  </w:style>
  <w:style w:type="character" w:styleId="WW8Num259z0">
    <w:name w:val="WW8Num259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61z0">
    <w:name w:val="WW8Num261z0"/>
    <w:qFormat/>
    <w:rPr/>
  </w:style>
  <w:style w:type="character" w:styleId="WW8Num263z0">
    <w:name w:val="WW8Num263z0"/>
    <w:qFormat/>
    <w:rPr>
      <w:rFonts w:ascii="Symbol" w:hAnsi="Symbol" w:cs="Symbol"/>
    </w:rPr>
  </w:style>
  <w:style w:type="character" w:styleId="WW8Num264z0">
    <w:name w:val="WW8Num264z0"/>
    <w:qFormat/>
    <w:rPr>
      <w:rFonts w:ascii="Wingdings" w:hAnsi="Wingdings" w:cs="Wingdings"/>
      <w:b w:val="false"/>
      <w:i w:val="false"/>
      <w:color w:val="auto"/>
      <w:sz w:val="16"/>
      <w:u w:val="none"/>
    </w:rPr>
  </w:style>
  <w:style w:type="character" w:styleId="WW8Num268z0">
    <w:name w:val="WW8Num268z0"/>
    <w:qFormat/>
    <w:rPr>
      <w:rFonts w:ascii="Symbol" w:hAnsi="Symbol" w:cs="Symbol"/>
      <w:vertAlign w:val="superscript"/>
    </w:rPr>
  </w:style>
  <w:style w:type="character" w:styleId="WW8Num269z0">
    <w:name w:val="WW8Num269z0"/>
    <w:qFormat/>
    <w:rPr/>
  </w:style>
  <w:style w:type="character" w:styleId="WW8Num270z0">
    <w:name w:val="WW8Num270z0"/>
    <w:qFormat/>
    <w:rPr>
      <w:rFonts w:ascii="Wingdings" w:hAnsi="Wingdings" w:cs="Wingdings"/>
    </w:rPr>
  </w:style>
  <w:style w:type="character" w:styleId="WW8Num271z0">
    <w:name w:val="WW8Num271z0"/>
    <w:qFormat/>
    <w:rPr>
      <w:rFonts w:ascii="Wingdings" w:hAnsi="Wingdings" w:cs="Wingdings"/>
      <w:b/>
      <w:i w:val="false"/>
      <w:sz w:val="28"/>
    </w:rPr>
  </w:style>
  <w:style w:type="character" w:styleId="WW8Num273z0">
    <w:name w:val="WW8Num273z0"/>
    <w:qFormat/>
    <w:rPr>
      <w:rFonts w:ascii="Wingdings" w:hAnsi="Wingdings" w:cs="Wingdings"/>
      <w:b w:val="false"/>
      <w:i w:val="false"/>
      <w:sz w:val="28"/>
      <w:u w:val="none"/>
    </w:rPr>
  </w:style>
  <w:style w:type="character" w:styleId="WW8Num274z0">
    <w:name w:val="WW8Num274z0"/>
    <w:qFormat/>
    <w:rPr>
      <w:rFonts w:ascii="Wingdings" w:hAnsi="Wingdings" w:cs="Wingdings"/>
      <w:b w:val="false"/>
      <w:i w:val="false"/>
      <w:sz w:val="12"/>
      <w:u w:val="none"/>
      <w:vertAlign w:val="superscript"/>
    </w:rPr>
  </w:style>
  <w:style w:type="character" w:styleId="WW8Num275z0">
    <w:name w:val="WW8Num275z0"/>
    <w:qFormat/>
    <w:rPr>
      <w:rFonts w:ascii="Wingdings" w:hAnsi="Wingdings" w:cs="Wingdings"/>
      <w:sz w:val="16"/>
    </w:rPr>
  </w:style>
  <w:style w:type="character" w:styleId="WW8Num276z0">
    <w:name w:val="WW8Num276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77z0">
    <w:name w:val="WW8Num277z0"/>
    <w:qFormat/>
    <w:rPr>
      <w:rFonts w:ascii="Wingdings" w:hAnsi="Wingdings" w:cs="Wingdings"/>
      <w:b w:val="false"/>
      <w:i w:val="false"/>
      <w:color w:val="auto"/>
      <w:sz w:val="12"/>
      <w:u w:val="none"/>
      <w:vertAlign w:val="superscript"/>
    </w:rPr>
  </w:style>
  <w:style w:type="character" w:styleId="WW8Num278z0">
    <w:name w:val="WW8Num278z0"/>
    <w:qFormat/>
    <w:rPr>
      <w:rFonts w:ascii="Wingdings" w:hAnsi="Wingdings" w:cs="Wingdings"/>
      <w:b w:val="false"/>
      <w:i w:val="false"/>
      <w:color w:val="auto"/>
      <w:sz w:val="20"/>
      <w:u w:val="none"/>
      <w:vertAlign w:val="superscript"/>
    </w:rPr>
  </w:style>
  <w:style w:type="character" w:styleId="WW8Num279z0">
    <w:name w:val="WW8Num279z0"/>
    <w:qFormat/>
    <w:rPr>
      <w:rFonts w:ascii="Wingdings" w:hAnsi="Wingdings" w:cs="Wingdings"/>
      <w:sz w:val="16"/>
    </w:rPr>
  </w:style>
  <w:style w:type="character" w:styleId="WW8Num280z0">
    <w:name w:val="WW8Num280z0"/>
    <w:qFormat/>
    <w:rPr>
      <w:rFonts w:ascii="Wingdings" w:hAnsi="Wingdings" w:cs="Wingdings"/>
      <w:b w:val="false"/>
      <w:i w:val="false"/>
      <w:sz w:val="28"/>
    </w:rPr>
  </w:style>
  <w:style w:type="character" w:styleId="WW8Num281z0">
    <w:name w:val="WW8Num281z0"/>
    <w:qFormat/>
    <w:rPr>
      <w:rFonts w:ascii="Symbol" w:hAnsi="Symbol" w:cs="Symbol"/>
    </w:rPr>
  </w:style>
  <w:style w:type="character" w:styleId="WW8Num283z0">
    <w:name w:val="WW8Num283z0"/>
    <w:qFormat/>
    <w:rPr/>
  </w:style>
  <w:style w:type="character" w:styleId="WW8Num285z0">
    <w:name w:val="WW8Num285z0"/>
    <w:qFormat/>
    <w:rPr/>
  </w:style>
  <w:style w:type="character" w:styleId="WW8Num286z0">
    <w:name w:val="WW8Num286z0"/>
    <w:qFormat/>
    <w:rPr>
      <w:rFonts w:ascii="Symbol" w:hAnsi="Symbol" w:cs="Symbol"/>
    </w:rPr>
  </w:style>
  <w:style w:type="character" w:styleId="WW8Num289z0">
    <w:name w:val="WW8Num289z0"/>
    <w:qFormat/>
    <w:rPr>
      <w:rFonts w:ascii="Wingdings" w:hAnsi="Wingdings" w:cs="Wingdings"/>
      <w:b w:val="false"/>
      <w:i w:val="false"/>
      <w:color w:val="auto"/>
      <w:sz w:val="12"/>
      <w:u w:val="none"/>
      <w:vertAlign w:val="superscript"/>
    </w:rPr>
  </w:style>
  <w:style w:type="character" w:styleId="WW8Num293z0">
    <w:name w:val="WW8Num293z0"/>
    <w:qFormat/>
    <w:rPr>
      <w:rFonts w:ascii="Symbol" w:hAnsi="Symbol" w:cs="Symbol"/>
    </w:rPr>
  </w:style>
  <w:style w:type="character" w:styleId="WW8Num294z0">
    <w:name w:val="WW8Num294z0"/>
    <w:qFormat/>
    <w:rPr/>
  </w:style>
  <w:style w:type="character" w:styleId="WW8Num296z0">
    <w:name w:val="WW8Num296z0"/>
    <w:qFormat/>
    <w:rPr/>
  </w:style>
  <w:style w:type="character" w:styleId="WW8Num297z0">
    <w:name w:val="WW8Num297z0"/>
    <w:qFormat/>
    <w:rPr>
      <w:rFonts w:ascii="Arial" w:hAnsi="Arial" w:cs="Arial"/>
      <w:b w:val="false"/>
      <w:i/>
      <w:color w:val="auto"/>
      <w:sz w:val="16"/>
      <w:u w:val="none"/>
    </w:rPr>
  </w:style>
  <w:style w:type="character" w:styleId="WW8Num299z0">
    <w:name w:val="WW8Num299z0"/>
    <w:qFormat/>
    <w:rPr/>
  </w:style>
  <w:style w:type="character" w:styleId="WW8Num300z0">
    <w:name w:val="WW8Num300z0"/>
    <w:qFormat/>
    <w:rPr>
      <w:rFonts w:ascii="Wingdings" w:hAnsi="Wingdings" w:cs="Wingdings"/>
      <w:b w:val="false"/>
      <w:i w:val="false"/>
      <w:color w:val="auto"/>
      <w:sz w:val="16"/>
      <w:u w:val="none"/>
    </w:rPr>
  </w:style>
  <w:style w:type="character" w:styleId="WW8Num301z0">
    <w:name w:val="WW8Num301z0"/>
    <w:qFormat/>
    <w:rPr/>
  </w:style>
  <w:style w:type="character" w:styleId="WW8Num302z0">
    <w:name w:val="WW8Num302z0"/>
    <w:qFormat/>
    <w:rPr>
      <w:rFonts w:ascii="Wingdings" w:hAnsi="Wingdings" w:cs="Wingdings"/>
      <w:b w:val="false"/>
      <w:i w:val="false"/>
      <w:color w:val="auto"/>
      <w:sz w:val="12"/>
      <w:u w:val="none"/>
      <w:vertAlign w:val="superscript"/>
    </w:rPr>
  </w:style>
  <w:style w:type="character" w:styleId="WW8Num307z0">
    <w:name w:val="WW8Num307z0"/>
    <w:qFormat/>
    <w:rPr>
      <w:rFonts w:ascii="Wingdings" w:hAnsi="Wingdings" w:cs="Wingdings"/>
      <w:b w:val="false"/>
      <w:i w:val="false"/>
      <w:color w:val="auto"/>
      <w:sz w:val="12"/>
      <w:u w:val="none"/>
      <w:vertAlign w:val="superscript"/>
    </w:rPr>
  </w:style>
  <w:style w:type="character" w:styleId="WW8Num308z0">
    <w:name w:val="WW8Num308z0"/>
    <w:qFormat/>
    <w:rPr>
      <w:rFonts w:ascii="Wingdings" w:hAnsi="Wingdings" w:cs="Wingdings"/>
      <w:b w:val="false"/>
      <w:i w:val="false"/>
      <w:color w:val="auto"/>
      <w:sz w:val="16"/>
      <w:u w:val="none"/>
    </w:rPr>
  </w:style>
  <w:style w:type="character" w:styleId="WW8Num309z0">
    <w:name w:val="WW8Num309z0"/>
    <w:qFormat/>
    <w:rPr>
      <w:rFonts w:ascii="Symbol" w:hAnsi="Symbol" w:cs="Symbol"/>
    </w:rPr>
  </w:style>
  <w:style w:type="character" w:styleId="WW8Num314z0">
    <w:name w:val="WW8Num314z0"/>
    <w:qFormat/>
    <w:rPr/>
  </w:style>
  <w:style w:type="character" w:styleId="WW8Num315z0">
    <w:name w:val="WW8Num315z0"/>
    <w:qFormat/>
    <w:rPr>
      <w:rFonts w:ascii="Wingdings" w:hAnsi="Wingdings" w:cs="Wingdings"/>
      <w:color w:val="auto"/>
      <w:sz w:val="20"/>
    </w:rPr>
  </w:style>
  <w:style w:type="character" w:styleId="WW8Num317z0">
    <w:name w:val="WW8Num317z0"/>
    <w:qFormat/>
    <w:rPr>
      <w:rFonts w:ascii="Wingdings" w:hAnsi="Wingdings" w:cs="Wingdings"/>
    </w:rPr>
  </w:style>
  <w:style w:type="character" w:styleId="WW8Num318z0">
    <w:name w:val="WW8Num318z0"/>
    <w:qFormat/>
    <w:rPr>
      <w:rFonts w:ascii="Symbol" w:hAnsi="Symbol" w:cs="Symbol"/>
      <w:vertAlign w:val="superscript"/>
    </w:rPr>
  </w:style>
  <w:style w:type="character" w:styleId="WW8Num319z0">
    <w:name w:val="WW8Num319z0"/>
    <w:qFormat/>
    <w:rPr/>
  </w:style>
  <w:style w:type="character" w:styleId="WW8Num320z0">
    <w:name w:val="WW8Num320z0"/>
    <w:qFormat/>
    <w:rPr>
      <w:rFonts w:ascii="Arial" w:hAnsi="Arial" w:cs="Arial"/>
      <w:b w:val="false"/>
      <w:i/>
      <w:color w:val="auto"/>
      <w:sz w:val="16"/>
      <w:u w:val="none"/>
    </w:rPr>
  </w:style>
  <w:style w:type="character" w:styleId="WW8Num321z0">
    <w:name w:val="WW8Num321z0"/>
    <w:qFormat/>
    <w:rPr/>
  </w:style>
  <w:style w:type="character" w:styleId="WW8Num322z0">
    <w:name w:val="WW8Num322z0"/>
    <w:qFormat/>
    <w:rPr/>
  </w:style>
  <w:style w:type="character" w:styleId="WW8Num324z0">
    <w:name w:val="WW8Num324z0"/>
    <w:qFormat/>
    <w:rPr/>
  </w:style>
  <w:style w:type="character" w:styleId="WW8Num326z0">
    <w:name w:val="WW8Num326z0"/>
    <w:qFormat/>
    <w:rPr>
      <w:rFonts w:ascii="Wingdings" w:hAnsi="Wingdings" w:cs="Wingdings"/>
      <w:b/>
      <w:i w:val="false"/>
      <w:sz w:val="28"/>
      <w:u w:val="none"/>
    </w:rPr>
  </w:style>
  <w:style w:type="character" w:styleId="WW8Num328z0">
    <w:name w:val="WW8Num328z0"/>
    <w:qFormat/>
    <w:rPr/>
  </w:style>
  <w:style w:type="character" w:styleId="WW8Num330z0">
    <w:name w:val="WW8Num330z0"/>
    <w:qFormat/>
    <w:rPr/>
  </w:style>
  <w:style w:type="character" w:styleId="WW8Num331z0">
    <w:name w:val="WW8Num331z0"/>
    <w:qFormat/>
    <w:rPr>
      <w:rFonts w:ascii="Wingdings" w:hAnsi="Wingdings" w:cs="Wingdings"/>
      <w:b w:val="false"/>
      <w:i w:val="false"/>
      <w:color w:val="auto"/>
      <w:sz w:val="28"/>
    </w:rPr>
  </w:style>
  <w:style w:type="character" w:styleId="WW8Num332z0">
    <w:name w:val="WW8Num332z0"/>
    <w:qFormat/>
    <w:rPr/>
  </w:style>
  <w:style w:type="character" w:styleId="WW8Num336z0">
    <w:name w:val="WW8Num336z0"/>
    <w:qFormat/>
    <w:rPr/>
  </w:style>
  <w:style w:type="character" w:styleId="WW8Num338z0">
    <w:name w:val="WW8Num338z0"/>
    <w:qFormat/>
    <w:rPr>
      <w:rFonts w:ascii="Wingdings" w:hAnsi="Wingdings" w:cs="Wingdings"/>
      <w:color w:val="auto"/>
      <w:sz w:val="20"/>
    </w:rPr>
  </w:style>
  <w:style w:type="character" w:styleId="WW8Num341z0">
    <w:name w:val="WW8Num341z0"/>
    <w:qFormat/>
    <w:rPr>
      <w:rFonts w:ascii="Wingdings" w:hAnsi="Wingdings" w:cs="Wingdings"/>
    </w:rPr>
  </w:style>
  <w:style w:type="character" w:styleId="WW8Num343z0">
    <w:name w:val="WW8Num343z0"/>
    <w:qFormat/>
    <w:rPr>
      <w:rFonts w:ascii="Wingdings" w:hAnsi="Wingdings" w:cs="Wingdings"/>
      <w:b w:val="false"/>
      <w:i w:val="false"/>
      <w:color w:val="auto"/>
      <w:sz w:val="16"/>
      <w:u w:val="none"/>
    </w:rPr>
  </w:style>
  <w:style w:type="character" w:styleId="WW8Num348z0">
    <w:name w:val="WW8Num348z0"/>
    <w:qFormat/>
    <w:rPr>
      <w:rFonts w:ascii="Wingdings" w:hAnsi="Wingdings" w:cs="Wingdings"/>
      <w:b w:val="false"/>
      <w:i w:val="false"/>
      <w:color w:val="auto"/>
      <w:sz w:val="10"/>
      <w:u w:val="none"/>
      <w:vertAlign w:val="superscript"/>
    </w:rPr>
  </w:style>
  <w:style w:type="character" w:styleId="WW8Num350z0">
    <w:name w:val="WW8Num350z0"/>
    <w:qFormat/>
    <w:rPr>
      <w:rFonts w:ascii="Wingdings" w:hAnsi="Wingdings" w:cs="Wingdings"/>
      <w:b/>
      <w:i/>
      <w:sz w:val="24"/>
    </w:rPr>
  </w:style>
  <w:style w:type="character" w:styleId="WW8Num352z0">
    <w:name w:val="WW8Num352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53z0">
    <w:name w:val="WW8Num353z0"/>
    <w:qFormat/>
    <w:rPr>
      <w:rFonts w:ascii="Wingdings" w:hAnsi="Wingdings" w:cs="Wingdings"/>
      <w:b w:val="false"/>
      <w:i w:val="false"/>
      <w:color w:val="auto"/>
      <w:sz w:val="28"/>
      <w:u w:val="none"/>
      <w:vertAlign w:val="superscript"/>
    </w:rPr>
  </w:style>
  <w:style w:type="character" w:styleId="WW8Num354z0">
    <w:name w:val="WW8Num354z0"/>
    <w:qFormat/>
    <w:rPr>
      <w:rFonts w:ascii="Arial" w:hAnsi="Arial" w:cs="Arial"/>
      <w:b w:val="false"/>
      <w:i w:val="false"/>
      <w:color w:val="auto"/>
      <w:sz w:val="16"/>
      <w:u w:val="none"/>
    </w:rPr>
  </w:style>
  <w:style w:type="character" w:styleId="WW8Num355z0">
    <w:name w:val="WW8Num355z0"/>
    <w:qFormat/>
    <w:rPr>
      <w:rFonts w:ascii="Wingdings" w:hAnsi="Wingdings" w:cs="Wingdings"/>
      <w:b/>
      <w:i/>
      <w:sz w:val="24"/>
    </w:rPr>
  </w:style>
  <w:style w:type="character" w:styleId="WW8Num357z0">
    <w:name w:val="WW8Num357z0"/>
    <w:qFormat/>
    <w:rPr>
      <w:rFonts w:ascii="Wingdings" w:hAnsi="Wingdings" w:cs="Wingdings"/>
      <w:sz w:val="20"/>
    </w:rPr>
  </w:style>
  <w:style w:type="character" w:styleId="WW8Num358z0">
    <w:name w:val="WW8Num358z0"/>
    <w:qFormat/>
    <w:rPr>
      <w:rFonts w:ascii="Wingdings" w:hAnsi="Wingdings" w:cs="Wingdings"/>
      <w:b/>
      <w:i/>
      <w:sz w:val="24"/>
    </w:rPr>
  </w:style>
  <w:style w:type="character" w:styleId="WW8Num360z0">
    <w:name w:val="WW8Num360z0"/>
    <w:qFormat/>
    <w:rPr>
      <w:rFonts w:ascii="Wingdings" w:hAnsi="Wingdings" w:cs="Wingdings"/>
      <w:sz w:val="16"/>
    </w:rPr>
  </w:style>
  <w:style w:type="character" w:styleId="WW8Num361z0">
    <w:name w:val="WW8Num361z0"/>
    <w:qFormat/>
    <w:rPr>
      <w:rFonts w:ascii="Wingdings" w:hAnsi="Wingdings" w:cs="Wingdings"/>
      <w:b/>
      <w:i/>
      <w:sz w:val="24"/>
    </w:rPr>
  </w:style>
  <w:style w:type="character" w:styleId="WW8Num364z0">
    <w:name w:val="WW8Num364z0"/>
    <w:qFormat/>
    <w:rPr>
      <w:rFonts w:ascii="Wingdings" w:hAnsi="Wingdings" w:cs="Wingdings"/>
      <w:b/>
      <w:i/>
      <w:sz w:val="24"/>
    </w:rPr>
  </w:style>
  <w:style w:type="character" w:styleId="WW8Num365z0">
    <w:name w:val="WW8Num365z0"/>
    <w:qFormat/>
    <w:rPr>
      <w:rFonts w:ascii="Wingdings" w:hAnsi="Wingdings" w:cs="Wingdings"/>
    </w:rPr>
  </w:style>
  <w:style w:type="character" w:styleId="WW8Num366z0">
    <w:name w:val="WW8Num366z0"/>
    <w:qFormat/>
    <w:rPr>
      <w:rFonts w:ascii="Symbol" w:hAnsi="Symbol" w:cs="Symbol"/>
    </w:rPr>
  </w:style>
  <w:style w:type="character" w:styleId="WW8Num367z0">
    <w:name w:val="WW8Num367z0"/>
    <w:qFormat/>
    <w:rPr>
      <w:rFonts w:ascii="Wingdings" w:hAnsi="Wingdings" w:cs="Wingdings"/>
      <w:color w:val="auto"/>
      <w:sz w:val="20"/>
    </w:rPr>
  </w:style>
  <w:style w:type="character" w:styleId="WW8Num368z0">
    <w:name w:val="WW8Num368z0"/>
    <w:qFormat/>
    <w:rPr>
      <w:rFonts w:ascii="Wingdings" w:hAnsi="Wingdings" w:cs="Wingdings"/>
      <w:b/>
      <w:i/>
      <w:sz w:val="24"/>
    </w:rPr>
  </w:style>
  <w:style w:type="character" w:styleId="WW8Num371z0">
    <w:name w:val="WW8Num371z0"/>
    <w:qFormat/>
    <w:rPr>
      <w:rFonts w:ascii="Symbol" w:hAnsi="Symbol" w:cs="Symbol"/>
    </w:rPr>
  </w:style>
  <w:style w:type="character" w:styleId="WW8Num372z0">
    <w:name w:val="WW8Num372z0"/>
    <w:qFormat/>
    <w:rPr>
      <w:rFonts w:ascii="Wingdings" w:hAnsi="Wingdings" w:cs="Wingdings"/>
    </w:rPr>
  </w:style>
  <w:style w:type="character" w:styleId="WW8Num373z0">
    <w:name w:val="WW8Num373z0"/>
    <w:qFormat/>
    <w:rPr>
      <w:rFonts w:ascii="Wingdings" w:hAnsi="Wingdings" w:cs="Wingdings"/>
      <w:b w:val="false"/>
      <w:i w:val="false"/>
      <w:sz w:val="14"/>
      <w:u w:val="none"/>
    </w:rPr>
  </w:style>
  <w:style w:type="character" w:styleId="WW8Num374z0">
    <w:name w:val="WW8Num374z0"/>
    <w:qFormat/>
    <w:rPr>
      <w:rFonts w:ascii="Wingdings" w:hAnsi="Wingdings" w:cs="Wingdings"/>
      <w:b w:val="false"/>
      <w:i w:val="false"/>
      <w:sz w:val="16"/>
      <w:u w:val="none"/>
    </w:rPr>
  </w:style>
  <w:style w:type="character" w:styleId="WW8NumSt61z0">
    <w:name w:val="WW8NumSt61z0"/>
    <w:qFormat/>
    <w:rPr>
      <w:rFonts w:ascii="Wingdings" w:hAnsi="Wingdings" w:cs="Wingdings"/>
    </w:rPr>
  </w:style>
  <w:style w:type="character" w:styleId="WW8NumSt72z0">
    <w:name w:val="WW8NumSt72z0"/>
    <w:qFormat/>
    <w:rPr>
      <w:rFonts w:ascii="Wingdings" w:hAnsi="Wingdings" w:cs="Wingdings"/>
      <w:sz w:val="28"/>
    </w:rPr>
  </w:style>
  <w:style w:type="character" w:styleId="WW8NumSt73z0">
    <w:name w:val="WW8NumSt73z0"/>
    <w:qFormat/>
    <w:rPr>
      <w:rFonts w:ascii="Wingdings" w:hAnsi="Wingdings" w:cs="Wingdings"/>
      <w:sz w:val="12"/>
    </w:rPr>
  </w:style>
  <w:style w:type="character" w:styleId="WW8NumSt114z0">
    <w:name w:val="WW8NumSt114z0"/>
    <w:qFormat/>
    <w:rPr>
      <w:rFonts w:ascii="Wingdings" w:hAnsi="Wingdings" w:cs="Wingdings"/>
      <w:sz w:val="12"/>
    </w:rPr>
  </w:style>
  <w:style w:type="character" w:styleId="WW8NumSt119z0">
    <w:name w:val="WW8NumSt119z0"/>
    <w:qFormat/>
    <w:rPr>
      <w:rFonts w:ascii="Wingdings" w:hAnsi="Wingdings" w:cs="Wingdings"/>
    </w:rPr>
  </w:style>
  <w:style w:type="character" w:styleId="WW8NumSt122z0">
    <w:name w:val="WW8NumSt122z0"/>
    <w:qFormat/>
    <w:rPr>
      <w:rFonts w:ascii="Wingdings" w:hAnsi="Wingdings" w:cs="Wingdings"/>
    </w:rPr>
  </w:style>
  <w:style w:type="character" w:styleId="WW8NumSt124z0">
    <w:name w:val="WW8NumSt124z0"/>
    <w:qFormat/>
    <w:rPr>
      <w:rFonts w:ascii="Wingdings" w:hAnsi="Wingdings" w:cs="Wingdings"/>
    </w:rPr>
  </w:style>
  <w:style w:type="character" w:styleId="WW8NumSt169z0">
    <w:name w:val="WW8NumSt169z0"/>
    <w:qFormat/>
    <w:rPr>
      <w:rFonts w:ascii="Wingdings" w:hAnsi="Wingdings" w:cs="Wingdings"/>
      <w:sz w:val="28"/>
    </w:rPr>
  </w:style>
  <w:style w:type="character" w:styleId="WW8NumSt173z0">
    <w:name w:val="WW8NumSt173z0"/>
    <w:qFormat/>
    <w:rPr>
      <w:rFonts w:ascii="Wingdings" w:hAnsi="Wingdings" w:cs="Wingdings"/>
    </w:rPr>
  </w:style>
  <w:style w:type="character" w:styleId="WW8NumSt174z0">
    <w:name w:val="WW8NumSt174z0"/>
    <w:qFormat/>
    <w:rPr>
      <w:rFonts w:ascii="Wingdings" w:hAnsi="Wingdings" w:cs="Wingdings"/>
    </w:rPr>
  </w:style>
  <w:style w:type="character" w:styleId="WW8NumSt177z0">
    <w:name w:val="WW8NumSt177z0"/>
    <w:qFormat/>
    <w:rPr>
      <w:rFonts w:ascii="Wingdings" w:hAnsi="Wingdings" w:cs="Wingdings"/>
      <w:sz w:val="28"/>
    </w:rPr>
  </w:style>
  <w:style w:type="character" w:styleId="WW8NumSt178z0">
    <w:name w:val="WW8NumSt178z0"/>
    <w:qFormat/>
    <w:rPr>
      <w:rFonts w:ascii="Wingdings" w:hAnsi="Wingdings" w:cs="Wingdings"/>
    </w:rPr>
  </w:style>
  <w:style w:type="character" w:styleId="WW8NumSt179z0">
    <w:name w:val="WW8NumSt179z0"/>
    <w:qFormat/>
    <w:rPr>
      <w:rFonts w:ascii="Wingdings" w:hAnsi="Wingdings" w:cs="Wingdings"/>
    </w:rPr>
  </w:style>
  <w:style w:type="character" w:styleId="WW8NumSt180z0">
    <w:name w:val="WW8NumSt180z0"/>
    <w:qFormat/>
    <w:rPr>
      <w:rFonts w:ascii="Wingdings" w:hAnsi="Wingdings" w:cs="Wingdings"/>
    </w:rPr>
  </w:style>
  <w:style w:type="character" w:styleId="WW8NumSt181z0">
    <w:name w:val="WW8NumSt181z0"/>
    <w:qFormat/>
    <w:rPr>
      <w:rFonts w:ascii="Wingdings" w:hAnsi="Wingdings" w:cs="Wingdings"/>
      <w:sz w:val="18"/>
    </w:rPr>
  </w:style>
  <w:style w:type="character" w:styleId="WW8NumSt207z0">
    <w:name w:val="WW8NumSt207z0"/>
    <w:qFormat/>
    <w:rPr>
      <w:rFonts w:ascii="Wingdings" w:hAnsi="Wingdings" w:cs="Wingdings"/>
    </w:rPr>
  </w:style>
  <w:style w:type="character" w:styleId="WW8NumSt208z0">
    <w:name w:val="WW8NumSt208z0"/>
    <w:qFormat/>
    <w:rPr>
      <w:rFonts w:ascii="Wingdings" w:hAnsi="Wingdings" w:cs="Wingdings"/>
      <w:b w:val="false"/>
      <w:i w:val="false"/>
      <w:sz w:val="12"/>
    </w:rPr>
  </w:style>
  <w:style w:type="character" w:styleId="WW8NumSt387z0">
    <w:name w:val="WW8NumSt387z0"/>
    <w:qFormat/>
    <w:rPr>
      <w:rFonts w:ascii="Times New Roman" w:hAnsi="Times New Roman" w:cs="Times New Roman"/>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PageNumber">
    <w:name w:val="page number"/>
    <w:basedOn w:val="DefaultParagraphFont"/>
    <w:rPr>
      <w:rFonts w:ascii="Arial" w:hAnsi="Arial" w:cs="Arial"/>
      <w:b/>
      <w:sz w:val="18"/>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spacing w:before="120" w:after="120"/>
      <w:ind w:hanging="0" w:start="2160" w:end="0"/>
    </w:pPr>
    <w:rPr>
      <w:rFonts w:ascii="Arial" w:hAnsi="Arial" w:cs="Arial"/>
    </w:rPr>
  </w:style>
  <w:style w:type="paragraph" w:styleId="List">
    <w:name w:val="List"/>
    <w:basedOn w:val="BodyText"/>
    <w:pPr/>
    <w:rPr>
      <w:rFonts w:cs="NotoSans NF"/>
    </w:rPr>
  </w:style>
  <w:style w:type="paragraph" w:styleId="Caption">
    <w:name w:val="caption"/>
    <w:basedOn w:val="Normal"/>
    <w:qFormat/>
    <w:pPr>
      <w:numPr>
        <w:ilvl w:val="0"/>
        <w:numId w:val="27"/>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A0b">
    <w:name w:val="A:0:b"/>
    <w:basedOn w:val="Normal"/>
    <w:qFormat/>
    <w:pPr>
      <w:numPr>
        <w:ilvl w:val="0"/>
        <w:numId w:val="15"/>
      </w:numPr>
      <w:spacing w:before="100" w:after="100"/>
    </w:pPr>
    <w:rPr>
      <w:rFonts w:ascii="Arial" w:hAnsi="Arial" w:cs="Arial"/>
    </w:rPr>
  </w:style>
  <w:style w:type="paragraph" w:styleId="A0bbox">
    <w:name w:val="A:0:bbox"/>
    <w:basedOn w:val="Normal"/>
    <w:qFormat/>
    <w:pPr>
      <w:numPr>
        <w:ilvl w:val="0"/>
        <w:numId w:val="4"/>
      </w:numPr>
      <w:spacing w:before="100" w:after="100"/>
    </w:pPr>
    <w:rPr>
      <w:rFonts w:ascii="Arial" w:hAnsi="Arial" w:cs="Arial"/>
    </w:rPr>
  </w:style>
  <w:style w:type="paragraph" w:styleId="B0bbox">
    <w:name w:val="B:0:bbox"/>
    <w:basedOn w:val="Normal"/>
    <w:qFormat/>
    <w:pPr>
      <w:numPr>
        <w:ilvl w:val="0"/>
        <w:numId w:val="19"/>
      </w:numPr>
      <w:spacing w:before="100" w:after="100"/>
      <w:ind w:hanging="360" w:start="2880" w:end="0"/>
    </w:pPr>
    <w:rPr>
      <w:rFonts w:ascii="Arial" w:hAnsi="Arial" w:cs="Arial"/>
    </w:rPr>
  </w:style>
  <w:style w:type="paragraph" w:styleId="B0n">
    <w:name w:val="B:0:n"/>
    <w:basedOn w:val="Normal"/>
    <w:qFormat/>
    <w:pPr>
      <w:numPr>
        <w:ilvl w:val="0"/>
        <w:numId w:val="18"/>
      </w:numPr>
      <w:spacing w:before="100" w:after="100"/>
      <w:ind w:hanging="360" w:start="0" w:end="0"/>
    </w:pPr>
    <w:rPr>
      <w:rFonts w:ascii="Arial" w:hAnsi="Arial" w:cs="Arial"/>
    </w:rPr>
  </w:style>
  <w:style w:type="paragraph" w:styleId="D1b">
    <w:name w:val="D:1:b"/>
    <w:basedOn w:val="Normal"/>
    <w:qFormat/>
    <w:pPr>
      <w:numPr>
        <w:ilvl w:val="0"/>
        <w:numId w:val="17"/>
      </w:numPr>
      <w:spacing w:before="100" w:after="100"/>
    </w:pPr>
    <w:rPr>
      <w:rFonts w:ascii="Arial" w:hAnsi="Arial" w:cs="Arial"/>
      <w:sz w:val="28"/>
    </w:rPr>
  </w:style>
  <w:style w:type="paragraph" w:styleId="Sub0b">
    <w:name w:val="Sub:0:b"/>
    <w:basedOn w:val="Normal"/>
    <w:qFormat/>
    <w:pPr>
      <w:numPr>
        <w:ilvl w:val="0"/>
        <w:numId w:val="25"/>
      </w:numPr>
      <w:tabs>
        <w:tab w:val="clear" w:pos="720"/>
      </w:tabs>
      <w:spacing w:before="240" w:after="120"/>
      <w:ind w:hanging="720" w:start="0" w:end="0"/>
    </w:pPr>
    <w:rPr>
      <w:rFonts w:ascii="Arial" w:hAnsi="Arial" w:cs="Arial"/>
      <w:b/>
      <w:sz w:val="24"/>
    </w:rPr>
  </w:style>
  <w:style w:type="paragraph" w:styleId="Note">
    <w:name w:val="Note"/>
    <w:basedOn w:val="Normal"/>
    <w:next w:val="Normal"/>
    <w:qFormat/>
    <w:pPr>
      <w:numPr>
        <w:ilvl w:val="0"/>
        <w:numId w:val="26"/>
      </w:numPr>
      <w:spacing w:before="40" w:after="0"/>
    </w:pPr>
    <w:rPr>
      <w:rFonts w:ascii="Arial" w:hAnsi="Arial" w:cs="Arial"/>
      <w:sz w:val="16"/>
    </w:rPr>
  </w:style>
  <w:style w:type="paragraph" w:styleId="Source">
    <w:name w:val="Source"/>
    <w:basedOn w:val="Normal"/>
    <w:next w:val="Normal"/>
    <w:qFormat/>
    <w:pPr>
      <w:numPr>
        <w:ilvl w:val="0"/>
        <w:numId w:val="23"/>
      </w:numPr>
      <w:spacing w:before="40" w:after="0"/>
    </w:pPr>
    <w:rPr>
      <w:rFonts w:ascii="Arial" w:hAnsi="Arial" w:cs="Arial"/>
      <w:sz w:val="16"/>
    </w:rPr>
  </w:style>
  <w:style w:type="paragraph" w:styleId="abullets">
    <w:name w:val="a:bullets"/>
    <w:basedOn w:val="Normal"/>
    <w:qFormat/>
    <w:pPr>
      <w:numPr>
        <w:ilvl w:val="0"/>
        <w:numId w:val="22"/>
      </w:numPr>
      <w:spacing w:before="240" w:after="0"/>
    </w:pPr>
    <w:rPr>
      <w:rFonts w:ascii="Arial" w:hAnsi="Arial" w:cs="Arial"/>
      <w:lang w:val="en-GB"/>
    </w:rPr>
  </w:style>
  <w:style w:type="paragraph" w:styleId="B1bbox">
    <w:name w:val="B:1:bbox"/>
    <w:basedOn w:val="Normal"/>
    <w:qFormat/>
    <w:pPr>
      <w:numPr>
        <w:ilvl w:val="0"/>
        <w:numId w:val="9"/>
      </w:numPr>
      <w:tabs>
        <w:tab w:val="clear" w:pos="720"/>
      </w:tabs>
      <w:spacing w:before="100" w:after="100"/>
    </w:pPr>
    <w:rPr>
      <w:rFonts w:ascii="Arial" w:hAnsi="Arial" w:cs="Arial"/>
      <w:sz w:val="28"/>
    </w:rPr>
  </w:style>
  <w:style w:type="paragraph" w:styleId="B1bboxA">
    <w:name w:val="B:1:bbox:A"/>
    <w:basedOn w:val="B1bbox"/>
    <w:qFormat/>
    <w:pPr>
      <w:numPr>
        <w:ilvl w:val="0"/>
        <w:numId w:val="21"/>
      </w:numPr>
      <w:tabs>
        <w:tab w:val="left" w:pos="1800" w:leader="none"/>
      </w:tabs>
      <w:ind w:hanging="0" w:start="1800" w:end="0"/>
    </w:pPr>
    <w:rPr/>
  </w:style>
  <w:style w:type="paragraph" w:styleId="Sec0">
    <w:name w:val="Sec:0"/>
    <w:basedOn w:val="Normal"/>
    <w:next w:val="Normal"/>
    <w:qFormat/>
    <w:pPr>
      <w:pageBreakBefore/>
      <w:spacing w:before="0" w:after="360"/>
    </w:pPr>
    <w:rPr>
      <w:rFonts w:ascii="Arial" w:hAnsi="Arial" w:cs="Arial"/>
      <w:b/>
      <w:sz w:val="36"/>
    </w:rPr>
  </w:style>
  <w:style w:type="paragraph" w:styleId="Sub0n">
    <w:name w:val="Sub:0:n"/>
    <w:basedOn w:val="Normal"/>
    <w:qFormat/>
    <w:pPr>
      <w:keepNext w:val="true"/>
      <w:spacing w:before="240" w:after="120"/>
    </w:pPr>
    <w:rPr>
      <w:rFonts w:ascii="Arial" w:hAnsi="Arial" w:cs="Arial"/>
      <w:b/>
      <w:sz w:val="24"/>
    </w:rPr>
  </w:style>
  <w:style w:type="paragraph" w:styleId="SecRN0">
    <w:name w:val="Sec:RN:0"/>
    <w:basedOn w:val="Sub0n"/>
    <w:qFormat/>
    <w:pPr>
      <w:ind w:hanging="720" w:start="720" w:end="0"/>
    </w:pPr>
    <w:rPr/>
  </w:style>
  <w:style w:type="paragraph" w:styleId="A0">
    <w:name w:val="A:0"/>
    <w:basedOn w:val="Normal"/>
    <w:qFormat/>
    <w:pPr>
      <w:spacing w:before="100" w:after="100"/>
      <w:ind w:hanging="0" w:start="1440" w:end="0"/>
    </w:pPr>
    <w:rPr>
      <w:rFonts w:ascii="Arial" w:hAnsi="Arial" w:cs="Arial"/>
    </w:rPr>
  </w:style>
  <w:style w:type="paragraph" w:styleId="Ttl0">
    <w:name w:val="Tt:l:0"/>
    <w:basedOn w:val="Normal"/>
    <w:qFormat/>
    <w:pPr>
      <w:spacing w:before="240" w:after="0"/>
    </w:pPr>
    <w:rPr>
      <w:rFonts w:ascii="Arial" w:hAnsi="Arial" w:cs="Arial"/>
      <w:b/>
      <w:sz w:val="28"/>
    </w:rPr>
  </w:style>
  <w:style w:type="paragraph" w:styleId="HdLet0">
    <w:name w:val="Hd:Let:0"/>
    <w:basedOn w:val="Sub0n"/>
    <w:qFormat/>
    <w:pPr>
      <w:ind w:hanging="720" w:start="1440" w:end="0"/>
    </w:pPr>
    <w:rPr/>
  </w:style>
  <w:style w:type="paragraph" w:styleId="Hidden">
    <w:name w:val="Hidden"/>
    <w:basedOn w:val="Normal"/>
    <w:qFormat/>
    <w:pPr/>
    <w:rPr>
      <w:rFonts w:ascii="Arial" w:hAnsi="Arial" w:cs="Arial"/>
      <w:b/>
      <w:vanish/>
      <w:color w:val="FF0000"/>
      <w:sz w:val="16"/>
    </w:rPr>
  </w:style>
  <w:style w:type="paragraph" w:styleId="Sub0">
    <w:name w:val="Sub:0"/>
    <w:basedOn w:val="Normal"/>
    <w:qFormat/>
    <w:pPr>
      <w:keepNext w:val="true"/>
      <w:spacing w:before="240" w:after="120"/>
      <w:ind w:hanging="0" w:start="1440" w:end="0"/>
    </w:pPr>
    <w:rPr>
      <w:rFonts w:ascii="Arial" w:hAnsi="Arial" w:cs="Arial"/>
      <w:b/>
      <w:sz w:val="24"/>
    </w:rPr>
  </w:style>
  <w:style w:type="paragraph" w:styleId="T0">
    <w:name w:val="T:0"/>
    <w:basedOn w:val="Normal"/>
    <w:qFormat/>
    <w:pPr>
      <w:spacing w:before="100" w:after="100"/>
    </w:pPr>
    <w:rPr>
      <w:rFonts w:ascii="Arial" w:hAnsi="Arial" w:cs="Arial"/>
    </w:rPr>
  </w:style>
  <w:style w:type="paragraph" w:styleId="Ttel1">
    <w:name w:val="Tt:el:1"/>
    <w:basedOn w:val="Normal"/>
    <w:qFormat/>
    <w:pPr>
      <w:spacing w:before="240" w:after="0"/>
    </w:pPr>
    <w:rPr>
      <w:rFonts w:ascii="Arial" w:hAnsi="Arial" w:cs="Arial"/>
      <w:b/>
      <w:sz w:val="28"/>
    </w:rPr>
  </w:style>
  <w:style w:type="paragraph" w:styleId="Tuel1">
    <w:name w:val="Tu:el:1"/>
    <w:basedOn w:val="Normal"/>
    <w:qFormat/>
    <w:pPr>
      <w:spacing w:before="0" w:after="20"/>
    </w:pPr>
    <w:rPr>
      <w:rFonts w:ascii="Arial" w:hAnsi="Arial" w:cs="Arial"/>
      <w:b/>
      <w:i/>
      <w:sz w:val="24"/>
    </w:rPr>
  </w:style>
  <w:style w:type="paragraph" w:styleId="TableHeadings">
    <w:name w:val="Table Headings"/>
    <w:basedOn w:val="Normal"/>
    <w:qFormat/>
    <w:pPr>
      <w:spacing w:before="36" w:after="36"/>
      <w:jc w:val="center"/>
    </w:pPr>
    <w:rPr>
      <w:rFonts w:ascii="Arial" w:hAnsi="Arial" w:cs="Arial"/>
      <w:caps/>
      <w:sz w:val="16"/>
    </w:rPr>
  </w:style>
  <w:style w:type="paragraph" w:styleId="Tnl0">
    <w:name w:val="Tn:l:0"/>
    <w:basedOn w:val="Normal"/>
    <w:qFormat/>
    <w:pPr>
      <w:spacing w:before="20" w:after="0"/>
      <w:ind w:hanging="720" w:start="720" w:end="0"/>
    </w:pPr>
    <w:rPr>
      <w:rFonts w:ascii="Arial" w:hAnsi="Arial" w:cs="Arial"/>
      <w:i/>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CommentText">
    <w:name w:val="Comment Tex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cs="Arial"/>
      <w:sz w:val="26"/>
    </w:rPr>
  </w:style>
  <w:style w:type="paragraph" w:styleId="BodyText2">
    <w:name w:val="Body Text 2"/>
    <w:basedOn w:val="Normal"/>
    <w:qFormat/>
    <w:pPr/>
    <w:rPr>
      <w:b/>
      <w:sz w:val="24"/>
      <w:u w:val="single"/>
    </w:rPr>
  </w:style>
  <w:style w:type="paragraph" w:styleId="TableText">
    <w:name w:val="Table Text"/>
    <w:basedOn w:val="Normal"/>
    <w:qFormat/>
    <w:pPr>
      <w:spacing w:before="36" w:after="36"/>
    </w:pPr>
    <w:rPr>
      <w:rFonts w:ascii="Arial" w:hAnsi="Arial" w:cs="Arial"/>
    </w:rPr>
  </w:style>
  <w:style w:type="paragraph" w:styleId="BodyTextIndent2">
    <w:name w:val="Body Text Indent 2"/>
    <w:basedOn w:val="Normal"/>
    <w:qFormat/>
    <w:pPr>
      <w:ind w:hanging="0" w:start="2430" w:end="0"/>
    </w:pPr>
    <w:rPr>
      <w:rFonts w:ascii="Arial" w:hAnsi="Arial" w:cs="Arial"/>
    </w:rPr>
  </w:style>
  <w:style w:type="paragraph" w:styleId="Tsl0">
    <w:name w:val="Ts:l:0"/>
    <w:basedOn w:val="Normal"/>
    <w:qFormat/>
    <w:pPr>
      <w:spacing w:before="0" w:after="120"/>
    </w:pPr>
    <w:rPr>
      <w:rFonts w:ascii="Arial" w:hAnsi="Arial" w:cs="Arial"/>
      <w:b/>
      <w:sz w:val="24"/>
    </w:rPr>
  </w:style>
  <w:style w:type="paragraph" w:styleId="BodyText3">
    <w:name w:val="Body Text 3"/>
    <w:basedOn w:val="Normal"/>
    <w:qFormat/>
    <w:pPr/>
    <w:rPr>
      <w:b/>
      <w:color w:val="000000"/>
      <w:sz w:val="4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2000-06-13T12:14:00Z</dcterms:created>
  <dc:creator>Rishi Modi</dc:creator>
  <dc:description/>
  <dc:language>en-CA</dc:language>
  <cp:lastModifiedBy>Jinsung Myung</cp:lastModifiedBy>
  <cp:lastPrinted>2000-05-18T17:17:00Z</cp:lastPrinted>
  <dcterms:modified xsi:type="dcterms:W3CDTF">2000-06-13T12:17:00Z</dcterms:modified>
  <cp:revision>3</cp:revision>
  <dc:subject/>
  <dc:title>The Power Markets</dc:title>
</cp:coreProperties>
</file>