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center"/>
        <w:tblInd w:w="0" w:type="dxa"/>
        <w:tblLayout w:type="fixed"/>
        <w:tblCellMar>
          <w:top w:w="0" w:type="dxa"/>
          <w:start w:w="0" w:type="dxa"/>
          <w:bottom w:w="0" w:type="dxa"/>
          <w:end w:w="0" w:type="dxa"/>
        </w:tblCellMar>
      </w:tblPr>
      <w:tblGrid>
        <w:gridCol w:w="3168"/>
        <w:gridCol w:w="6192"/>
      </w:tblGrid>
      <w:tr>
        <w:trPr>
          <w:trHeight w:val="432" w:hRule="exact"/>
        </w:trPr>
        <w:tc>
          <w:tcPr>
            <w:tcW w:w="3168" w:type="dxa"/>
            <w:tcBorders>
              <w:top w:val="single" w:sz="6" w:space="0" w:color="FFFFFF"/>
              <w:start w:val="single" w:sz="6" w:space="0" w:color="FFFFFF"/>
              <w:bottom w:val="single" w:sz="6" w:space="0" w:color="FFFFFF"/>
              <w:end w:val="single" w:sz="6" w:space="0" w:color="FFFFFF"/>
            </w:tcBorders>
          </w:tcPr>
          <w:p>
            <w:pPr>
              <w:pStyle w:val="Normal"/>
              <w:widowControl/>
              <w:snapToGrid w:val="false"/>
              <w:jc w:val="both"/>
              <w:rPr>
                <w:rFonts w:ascii="Andale Mono" w:hAnsi="Andale Mono" w:cs="Andale Mono"/>
              </w:rPr>
            </w:pPr>
            <w:r>
              <w:rPr>
                <w:rFonts w:cs="Andale Mono" w:ascii="Andale Mono" w:hAnsi="Andale Mono"/>
              </w:rPr>
            </w:r>
          </w:p>
        </w:tc>
        <w:tc>
          <w:tcPr>
            <w:tcW w:w="6192" w:type="dxa"/>
            <w:tcBorders>
              <w:top w:val="single" w:sz="6" w:space="0" w:color="FFFFFF"/>
              <w:start w:val="single" w:sz="6" w:space="0" w:color="FFFFFF"/>
              <w:bottom w:val="single" w:sz="6" w:space="0" w:color="FFFFFF"/>
              <w:end w:val="single" w:sz="6" w:space="0" w:color="FFFFFF"/>
            </w:tcBorders>
          </w:tcPr>
          <w:p>
            <w:pPr>
              <w:pStyle w:val="Normal"/>
              <w:widowControl/>
              <w:snapToGrid w:val="false"/>
              <w:rPr>
                <w:rFonts w:ascii="Andale Mono" w:hAnsi="Andale Mono" w:cs="Andale Mono"/>
              </w:rPr>
            </w:pPr>
            <w:r>
              <w:rPr>
                <w:rFonts w:cs="Andale Mono" w:ascii="Andale Mono" w:hAnsi="Andale Mono"/>
              </w:rPr>
            </w:r>
          </w:p>
        </w:tc>
      </w:tr>
      <w:tr>
        <w:trPr/>
        <w:tc>
          <w:tcPr>
            <w:tcW w:w="3168" w:type="dxa"/>
            <w:tcBorders>
              <w:top w:val="single" w:sz="6" w:space="0" w:color="FFFFFF"/>
              <w:start w:val="single" w:sz="6" w:space="0" w:color="FFFFFF"/>
              <w:bottom w:val="single" w:sz="6" w:space="0" w:color="FFFFFF"/>
              <w:end w:val="single" w:sz="6" w:space="0" w:color="FFFFFF"/>
            </w:tcBorders>
          </w:tcPr>
          <w:p>
            <w:pPr>
              <w:pStyle w:val="Normal"/>
              <w:widowControl/>
              <w:jc w:val="both"/>
              <w:rPr>
                <w:rFonts w:ascii="Andale Mono" w:hAnsi="Andale Mono" w:cs="Andale Mono"/>
              </w:rPr>
            </w:pPr>
            <w:r>
              <w:rPr>
                <w:rFonts w:cs="Andale Mono" w:ascii="Andale Mono" w:hAnsi="Andale Mono"/>
                <w:sz w:val="28"/>
              </w:rPr>
              <w:t>MEMORANDUM</w:t>
            </w:r>
          </w:p>
        </w:tc>
        <w:tc>
          <w:tcPr>
            <w:tcW w:w="6192" w:type="dxa"/>
            <w:tcBorders>
              <w:top w:val="single" w:sz="6" w:space="0" w:color="FFFFFF"/>
              <w:start w:val="single" w:sz="6" w:space="0" w:color="FFFFFF"/>
              <w:bottom w:val="single" w:sz="6" w:space="0" w:color="FFFFFF"/>
              <w:end w:val="single" w:sz="6" w:space="0" w:color="FFFFFF"/>
            </w:tcBorders>
          </w:tcPr>
          <w:p>
            <w:pPr>
              <w:pStyle w:val="Normal"/>
              <w:widowControl/>
              <w:snapToGrid w:val="false"/>
              <w:rPr>
                <w:rFonts w:ascii="Andale Mono" w:hAnsi="Andale Mono" w:cs="Andale Mono"/>
              </w:rPr>
            </w:pPr>
            <w:r>
              <w:rPr>
                <w:rFonts w:cs="Andale Mono" w:ascii="Andale Mono" w:hAnsi="Andale Mono"/>
              </w:rPr>
            </w:r>
          </w:p>
        </w:tc>
      </w:tr>
      <w:tr>
        <w:trPr>
          <w:trHeight w:val="268" w:hRule="exact"/>
        </w:trPr>
        <w:tc>
          <w:tcPr>
            <w:tcW w:w="3168" w:type="dxa"/>
            <w:tcBorders>
              <w:top w:val="single" w:sz="6" w:space="0" w:color="FFFFFF"/>
              <w:start w:val="single" w:sz="6" w:space="0" w:color="FFFFFF"/>
              <w:bottom w:val="single" w:sz="6" w:space="0" w:color="FFFFFF"/>
              <w:end w:val="single" w:sz="6" w:space="0" w:color="FFFFFF"/>
            </w:tcBorders>
            <w:shd w:fill="000000" w:val="clear"/>
          </w:tcPr>
          <w:p>
            <w:pPr>
              <w:pStyle w:val="Normal"/>
              <w:snapToGrid w:val="false"/>
              <w:spacing w:lineRule="exact" w:line="120"/>
              <w:rPr>
                <w:rFonts w:ascii="Andale Mono" w:hAnsi="Andale Mono" w:cs="Andale Mono"/>
              </w:rPr>
            </w:pPr>
            <w:r>
              <w:rPr>
                <w:rFonts w:cs="Andale Mono" w:ascii="Andale Mono" w:hAnsi="Andale Mono"/>
              </w:rPr>
            </w:r>
          </w:p>
          <w:p>
            <w:pPr>
              <w:pStyle w:val="Normal"/>
              <w:widowControl/>
              <w:spacing w:before="0" w:after="58"/>
              <w:rPr>
                <w:rFonts w:ascii="Andale Mono" w:hAnsi="Andale Mono" w:cs="Andale Mono"/>
              </w:rPr>
            </w:pPr>
            <w:r>
              <w:rPr>
                <w:rFonts w:cs="Andale Mono" w:ascii="Andale Mono" w:hAnsi="Andale Mono"/>
              </w:rPr>
            </w:r>
          </w:p>
        </w:tc>
        <w:tc>
          <w:tcPr>
            <w:tcW w:w="6192" w:type="dxa"/>
            <w:tcBorders>
              <w:top w:val="single" w:sz="6" w:space="0" w:color="000000"/>
              <w:start w:val="single" w:sz="6" w:space="0" w:color="FFFFFF"/>
              <w:bottom w:val="single" w:sz="6" w:space="0" w:color="FFFFFF"/>
              <w:end w:val="single" w:sz="6" w:space="0" w:color="FFFFFF"/>
            </w:tcBorders>
          </w:tcPr>
          <w:p>
            <w:pPr>
              <w:pStyle w:val="Normal"/>
              <w:snapToGrid w:val="false"/>
              <w:spacing w:lineRule="exact" w:line="120"/>
              <w:rPr>
                <w:rFonts w:ascii="Andale Mono" w:hAnsi="Andale Mono" w:cs="Andale Mono"/>
              </w:rPr>
            </w:pPr>
            <w:r>
              <w:rPr>
                <w:rFonts w:cs="Andale Mono" w:ascii="Andale Mono" w:hAnsi="Andale Mono"/>
              </w:rPr>
            </w:r>
          </w:p>
          <w:p>
            <w:pPr>
              <w:pStyle w:val="Normal"/>
              <w:widowControl/>
              <w:spacing w:before="0" w:after="58"/>
              <w:rPr>
                <w:rFonts w:ascii="Andale Mono" w:hAnsi="Andale Mono" w:cs="Andale Mono"/>
              </w:rPr>
            </w:pPr>
            <w:r>
              <w:rPr>
                <w:rFonts w:cs="Andale Mono" w:ascii="Andale Mono" w:hAnsi="Andale Mono"/>
              </w:rPr>
            </w:r>
          </w:p>
        </w:tc>
      </w:tr>
    </w:tbl>
    <w:p>
      <w:pPr>
        <w:pStyle w:val="Normal"/>
        <w:widowControl/>
        <w:rPr>
          <w:rFonts w:ascii="Andale Mono" w:hAnsi="Andale Mono" w:cs="Andale Mono"/>
        </w:rPr>
      </w:pPr>
      <w:r>
        <w:rPr>
          <w:rFonts w:cs="Andale Mono" w:ascii="Andale Mono" w:hAnsi="Andale Mono"/>
        </w:rPr>
      </w:r>
    </w:p>
    <w:p>
      <w:pPr>
        <w:pStyle w:val="Normal"/>
        <w:widowControl/>
        <w:rPr>
          <w:rFonts w:ascii="Andale Mono" w:hAnsi="Andale Mono" w:cs="Andale Mono"/>
        </w:rPr>
      </w:pPr>
      <w:r>
        <w:rPr>
          <w:rFonts w:cs="Andale Mono" w:ascii="Andale Mono" w:hAnsi="Andale Mono"/>
        </w:rPr>
      </w:r>
    </w:p>
    <w:p>
      <w:pPr>
        <w:pStyle w:val="Normal"/>
        <w:widowControl/>
        <w:tabs>
          <w:tab w:val="clear" w:pos="720"/>
          <w:tab w:val="left" w:pos="0" w:leader="none"/>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spacing w:before="0" w:after="240"/>
        <w:ind w:hanging="1440" w:start="1440" w:end="0"/>
        <w:rPr/>
      </w:pPr>
      <w:r>
        <w:rPr>
          <w:b/>
        </w:rPr>
        <w:t>To:</w:t>
      </w:r>
      <w:r>
        <w:rPr/>
        <w:tab/>
        <w:t>Gary Keevill via fax: (609) 409-9404</w:t>
      </w:r>
    </w:p>
    <w:p>
      <w:pPr>
        <w:pStyle w:val="Normal"/>
        <w:widowControl/>
        <w:tabs>
          <w:tab w:val="clear" w:pos="720"/>
          <w:tab w:val="left" w:pos="0" w:leader="none"/>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spacing w:before="0" w:after="240"/>
        <w:ind w:hanging="1440" w:start="1440" w:end="0"/>
        <w:rPr/>
      </w:pPr>
      <w:r>
        <w:rPr>
          <w:b/>
        </w:rPr>
        <w:t>From:</w:t>
      </w:r>
      <w:r>
        <w:rPr/>
        <w:tab/>
        <w:t>Thomas M. Geiger, Esq.</w:t>
      </w:r>
    </w:p>
    <w:p>
      <w:pPr>
        <w:pStyle w:val="Normal"/>
        <w:widowControl/>
        <w:tabs>
          <w:tab w:val="clear" w:pos="720"/>
          <w:tab w:val="left" w:pos="0" w:leader="none"/>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spacing w:before="0" w:after="240"/>
        <w:ind w:hanging="1440" w:start="1440" w:end="0"/>
        <w:rPr/>
      </w:pPr>
      <w:r>
        <w:rPr>
          <w:b/>
        </w:rPr>
        <w:t>Subject:</w:t>
      </w:r>
      <w:r>
        <w:rPr/>
        <w:tab/>
        <w:t>Infineum</w:t>
      </w:r>
    </w:p>
    <w:p>
      <w:pPr>
        <w:pStyle w:val="Normal"/>
        <w:widowControl/>
        <w:tabs>
          <w:tab w:val="clear" w:pos="720"/>
          <w:tab w:val="left" w:pos="0" w:leader="none"/>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spacing w:before="0" w:after="240"/>
        <w:ind w:hanging="1440" w:start="1440" w:end="0"/>
        <w:rPr/>
      </w:pPr>
      <w:r>
        <w:rPr>
          <w:b/>
        </w:rPr>
        <w:t>Date:</w:t>
      </w:r>
      <w:r>
        <w:rPr/>
        <w:tab/>
        <w:t>July 10, 2000</w:t>
      </w:r>
    </w:p>
    <w:p>
      <w:pPr>
        <w:pStyle w:val="Normal"/>
        <w:widowControl/>
        <w:tabs>
          <w:tab w:val="clear" w:pos="720"/>
          <w:tab w:val="left" w:pos="0" w:leader="none"/>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spacing w:lineRule="exact" w:line="134"/>
        <w:rPr>
          <w:lang w:val="en-CA" w:eastAsia="en-CA"/>
        </w:rPr>
      </w:pPr>
      <w:r>
        <w:rPr>
          <w:lang w:val="en-CA" w:eastAsia="en-CA"/>
        </w:rPr>
        <mc:AlternateContent>
          <mc:Choice Requires="wps">
            <w:drawing>
              <wp:anchor behindDoc="1" distT="0" distB="0" distL="114935" distR="114935" simplePos="0" locked="0" layoutInCell="0" allowOverlap="1" relativeHeight="2">
                <wp:simplePos x="0" y="0"/>
                <wp:positionH relativeFrom="page">
                  <wp:posOffset>914400</wp:posOffset>
                </wp:positionH>
                <wp:positionV relativeFrom="paragraph">
                  <wp:posOffset>635</wp:posOffset>
                </wp:positionV>
                <wp:extent cx="5943600" cy="85090"/>
                <wp:effectExtent l="0" t="0" r="0" b="0"/>
                <wp:wrapNone/>
                <wp:docPr id="1" name=""/>
                <a:graphic xmlns:a="http://schemas.openxmlformats.org/drawingml/2006/main">
                  <a:graphicData uri="http://schemas.microsoft.com/office/word/2010/wordprocessingShape">
                    <wps:wsp>
                      <wps:cNvSpPr/>
                      <wps:spPr>
                        <a:xfrm>
                          <a:off x="0" y="0"/>
                          <a:ext cx="5943600" cy="849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65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left" w:pos="0" w:leader="none"/>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spacing w:before="0" w:after="240"/>
        <w:jc w:val="both"/>
        <w:rPr/>
      </w:pPr>
      <w:r>
        <w:rPr/>
      </w:r>
    </w:p>
    <w:p>
      <w:pPr>
        <w:pStyle w:val="Normal"/>
        <w:widowControl/>
        <w:tabs>
          <w:tab w:val="clear" w:pos="720"/>
          <w:tab w:val="left" w:pos="0" w:leader="none"/>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spacing w:before="0" w:after="240"/>
        <w:ind w:firstLine="1440" w:end="0"/>
        <w:jc w:val="both"/>
        <w:rPr/>
      </w:pPr>
      <w:r>
        <w:rPr/>
        <w:t>You have asked me to convey my thoughts regarding possible counterclaims with regard to the Infineum Complaint and also other litigation strategies and thoughts that I might have, especially regarding possible termination of the Infineum Steam Sale Agreement.  Accordingly, the following are my thoughts:</w:t>
      </w:r>
    </w:p>
    <w:p>
      <w:pPr>
        <w:pStyle w:val="Normal"/>
        <w:widowControl/>
        <w:tabs>
          <w:tab w:val="clear" w:pos="720"/>
          <w:tab w:val="left" w:pos="0" w:leader="none"/>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spacing w:before="0" w:after="240"/>
        <w:ind w:hanging="721" w:start="2882" w:end="0"/>
        <w:jc w:val="both"/>
        <w:rPr/>
      </w:pPr>
      <w:r>
        <w:rPr/>
        <w:t>1A.</w:t>
        <w:tab/>
        <w:t xml:space="preserve">Cogen’s records clearly indicate that during the months of January, 1999 through May, 1999 Infineum took steam (in some cases high pressure steam, in other cases low pressure steam, and in other cases both high and low pressure steam) in excess of the contract maximums.  Such maximums are set forth in Paragraphs 3.1A (relating to monthly maximums) and 3.4 (relating to maximums of high and low pressure steam).  Pursuant to both of these sections, Infineum has the right to request steam in excess of the maximums, and Cogen agrees to provide it with certain limitations, one of which being that Cogen would not be materially adversely affected under any of Cogen’s other agreements to sell steam to other steam users.  Cogen’s position is that its loss of revenue under the Bayway Steam Sale Agreement would constitute a material adverse effect. Additionally, 3.1A allows Infineum to request steam in excess of the maximum at </w:t>
      </w:r>
      <w:r>
        <w:rPr>
          <w:u w:val="single"/>
        </w:rPr>
        <w:t>Infineum’s Complex and Infineum’s Technology Center</w:t>
      </w:r>
      <w:r>
        <w:rPr/>
        <w:t xml:space="preserve">.  This implies that such requests above the maximum would be allowed for Infineum’s own industrial use, as opposed to for re-sale. </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QuickA"/>
        <w:widowControl/>
        <w:numPr>
          <w:ilvl w:val="0"/>
          <w:numId w:val="1"/>
        </w:numPr>
        <w:tabs>
          <w:tab w:val="left" w:pos="0" w:leader="none"/>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spacing w:before="0" w:after="240"/>
        <w:jc w:val="both"/>
        <w:rPr/>
      </w:pPr>
      <w:r>
        <w:rPr/>
        <w:t xml:space="preserve">With all this said, consideration should be given to a counterclaim against Infineum arising out of Infineum’s steam takes above the contract maximums during the months of January, 1999 through May,  1999 based on the fact that Infineum has no right pursuant to the Agreement to take steam above the maximum during these months because (i) it was for re-sale and (ii)  Cogen was materially adversely affected under another steam sale agreement. The measure of damages for this breach would be all of the lost revenues under the Bayway Steam Sale Agreement (with credit for the $615,000.00 side letter adjustment only if, as, and when that adjustment is ever collected).  It should be noted that with regard to this counterclaim, Section 12.1B may shield Infineum from damages Cogen suffers arising out of lost revenues under the Bayway Contract.  However, as a corollary, Section 12.1A  may shield Cogen and should be plead by Cogen as a defense against  damages arising out of lost revenues by Infineum from its sale of steam to Bayway which is the basis of Infineum’s complaint.  </w:t>
      </w:r>
    </w:p>
    <w:p>
      <w:pPr>
        <w:pStyle w:val="Normal"/>
        <w:widowControl/>
        <w:tabs>
          <w:tab w:val="clear" w:pos="720"/>
          <w:tab w:val="left" w:pos="0" w:leader="none"/>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spacing w:before="0" w:after="240"/>
        <w:ind w:hanging="721" w:start="2882" w:end="0"/>
        <w:jc w:val="both"/>
        <w:rPr/>
      </w:pPr>
      <w:r>
        <w:rPr/>
        <w:t>2A.</w:t>
        <w:tab/>
        <w:t xml:space="preserve">Another possible course of action that Cogen should consider is to proceed with the termination of the Infineum Steam Sale Agreement.  Section 11.2B allows Cogen to terminate the Agreement if (i) Infineum breaches the Agreement, (ii) Cogen provides notice of such breach to Infineum, and (iii) Infineum fails to cure such breach within sixty (60) days after such notice.  Cogen could take the position that Infineum’s steam takes above the maximum during the months of January 1999 through May 1999 constituted a breach of the Agreement.  Cogen could take the position that Cogen’s March 3, 1999,  March 16, 1999 and April 29, 1999 letters to Alan Martin constituted notice of such breach, and that more than sixty days has elapsed without such breach having been cured.  If these letters to Alan Martin do not constitute notice of such breach, notice of the breach could be given in a new letter sent at this time.  Article 13 dealing with </w:t>
      </w:r>
      <w:r>
        <w:rPr>
          <w:u w:val="single"/>
        </w:rPr>
        <w:t>Waivers</w:t>
      </w:r>
      <w:r>
        <w:rPr/>
        <w:t xml:space="preserve"> seems to say that the passage of time does not constitute a waiver by Cogen.  </w:t>
      </w:r>
    </w:p>
    <w:p>
      <w:pPr>
        <w:pStyle w:val="QuickA"/>
        <w:widowControl/>
        <w:numPr>
          <w:ilvl w:val="0"/>
          <w:numId w:val="2"/>
        </w:numPr>
        <w:tabs>
          <w:tab w:val="left" w:pos="0" w:leader="none"/>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spacing w:before="0" w:after="240"/>
        <w:jc w:val="both"/>
        <w:rPr/>
      </w:pPr>
      <w:r>
        <w:rPr/>
        <w:t xml:space="preserve">In order to terminate the Agreement, Cogen must send Infineum a Notice of Termination pursuant to Section 11.5E.  There are two restrictions on Cogen’s right to send such notice (other than Infineum being in breach and having been given the sixty (60) day notice). These restrictions relate to Financiers.  If Cogen has a Financier, Cogen’s Financier must join in such notice of termination.  This requirement is contained at the end of Section 11.2.  Additionally, pursuant to Section 11.4B, if Cogen has received notice from Infineum that Infineum has a mortgagee, then Cogen must first give the mortgagee the notice of breach with the same cure rights as Infineum.  If a termination occurs, Section 11.6A requires the parties to cooperate for a smooth transition. </w:t>
      </w:r>
    </w:p>
    <w:p>
      <w:pPr>
        <w:sectPr>
          <w:type w:val="continuous"/>
          <w:pgSz w:w="12240" w:h="15840"/>
          <w:pgMar w:left="1440" w:right="1440" w:gutter="0" w:header="0" w:top="1440" w:footer="0" w:bottom="1440"/>
          <w:formProt w:val="false"/>
          <w:textDirection w:val="lrTb"/>
          <w:docGrid w:type="default" w:linePitch="360" w:charSpace="0"/>
        </w:sectPr>
      </w:pPr>
    </w:p>
    <w:p>
      <w:pPr>
        <w:pStyle w:val="QuickA"/>
        <w:widowControl/>
        <w:numPr>
          <w:ilvl w:val="0"/>
          <w:numId w:val="2"/>
        </w:numPr>
        <w:tabs>
          <w:tab w:val="left" w:pos="0" w:leader="none"/>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spacing w:before="0" w:after="240"/>
        <w:jc w:val="both"/>
        <w:rPr/>
      </w:pPr>
      <w:r>
        <w:rPr/>
        <w:t xml:space="preserve">Obviously, Cogen would not wish to pursue a termination of the Infineum Steam Sale Agreement if such termination would jeopardize Cogen’s QF status.  If termination does not jeopardize Cogen’s QF status, then termination could benefit Cogen as follows:  (i) it  would alleviate Cogen’s requirement to provide free steam to Infineum, and by using this steam for the generation of electricity, could substantially increase Cogen’s revenues, (ii) if, because of the nature of the steam distribution system, Cogen continued to deliver steam to Infineum after termination, Cogen could argue that it is entitled to fair market value for this steam, and therefore could  significantly boost its revenues by the value of such steam, (iii) if the Infineum Steam Sale Agreement was terminated, there would be one less agreement that Cogen would have to deal with in a restructuring of the Linden Plant, and (iv)  the threat of no longer being able to obtain free steam from Cogen and perhaps having to install its own steam generating equipment and modify its steam distribution system would apply significant pressure on Infineum to settle this matter.  </w:t>
      </w:r>
    </w:p>
    <w:p>
      <w:pPr>
        <w:pStyle w:val="Quick1"/>
        <w:widowControl/>
        <w:numPr>
          <w:ilvl w:val="0"/>
          <w:numId w:val="3"/>
        </w:numPr>
        <w:tabs>
          <w:tab w:val="left" w:pos="0" w:leader="none"/>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spacing w:before="0" w:after="240"/>
        <w:jc w:val="both"/>
        <w:rPr/>
      </w:pPr>
      <w:r>
        <w:rPr/>
        <w:t>Another aspect of this situation which needs to be thought through is  what, if any, involvement Bayway may have in these various possible courses of action.  If Cogen were to terminate the Infineum Steam Sale Agreement and take the position that it did not want to deliver any steam to Infineum, it might be necessary to bring Bayway into the litigation  to require Bayway to alter its steam distribution system so that steam would no longer be delivered to Infineum.  Also, under the Infineum/Bayway joint services agreement, there may be impacts on Bayway of which we are not aware. Additionally, the Bayway Steam Sale Agreement needs to be reviewed to determine how, if at all, a termination of the Infineum Steam Sale Agreement would impact on the Bayway Steam Sale Agreement.</w:t>
      </w:r>
    </w:p>
    <w:p>
      <w:pPr>
        <w:pStyle w:val="Normal"/>
        <w:widowControl/>
        <w:tabs>
          <w:tab w:val="clear" w:pos="720"/>
          <w:tab w:val="left" w:pos="0" w:leader="none"/>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spacing w:before="0" w:after="260"/>
        <w:jc w:val="both"/>
        <w:rPr>
          <w:sz w:val="18"/>
        </w:rPr>
      </w:pPr>
      <w:r>
        <w:rPr>
          <w:sz w:val="18"/>
        </w:rPr>
        <w:fldChar w:fldCharType="begin"/>
      </w:r>
      <w:r>
        <w:rPr>
          <w:sz w:val="18"/>
        </w:rPr>
        <w:instrText xml:space="preserve"> FILENAME \p </w:instrText>
      </w:r>
      <w:r>
        <w:rPr>
          <w:sz w:val="18"/>
        </w:rPr>
        <w:fldChar w:fldCharType="separate"/>
      </w:r>
      <w:r>
        <w:rPr>
          <w:sz w:val="18"/>
        </w:rPr>
        <w:t>/mnt/main-storage/datasets/enron-docs/doc/GeigerInfineumMemo.doc</w:t>
      </w:r>
      <w:r>
        <w:rPr>
          <w:sz w:val="18"/>
        </w:rPr>
        <w:fldChar w:fldCharType="end"/>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dale Mono">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0"/>
        </w:tabs>
        <w:ind w:start="0" w:hanging="0"/>
      </w:pPr>
      <w:rPr>
        <w:sz w:val="24"/>
        <w:rFonts w:ascii="Times New Roman" w:hAnsi="Times New Roman" w:cs="Times New Roman"/>
      </w:rPr>
    </w:lvl>
  </w:abstractNum>
  <w:abstractNum w:abstractNumId="2">
    <w:lvl w:ilvl="0">
      <w:start w:val="2"/>
      <w:numFmt w:val="decimal"/>
      <w:lvlText w:val="%1."/>
      <w:lvlJc w:val="start"/>
      <w:pPr>
        <w:tabs>
          <w:tab w:val="num" w:pos="0"/>
        </w:tabs>
        <w:ind w:start="0" w:hanging="0"/>
      </w:pPr>
      <w:rPr>
        <w:sz w:val="24"/>
        <w:rFonts w:ascii="Times New Roman" w:hAnsi="Times New Roman" w:cs="Times New Roman"/>
      </w:rPr>
    </w:lvl>
  </w:abstractNum>
  <w:abstractNum w:abstractNumId="3">
    <w:lvl w:ilvl="0">
      <w:start w:val="3"/>
      <w:numFmt w:val="decimal"/>
      <w:lvlText w:val="%1."/>
      <w:lvlJc w:val="start"/>
      <w:pPr>
        <w:tabs>
          <w:tab w:val="num" w:pos="0"/>
        </w:tabs>
        <w:ind w:start="0" w:hanging="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rFonts w:ascii="Times New Roman" w:hAnsi="Times New Roman" w:cs="Times New Roman"/>
      <w:sz w:val="24"/>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ickA">
    <w:name w:val="Quick A."/>
    <w:basedOn w:val="Normal"/>
    <w:qFormat/>
    <w:pPr>
      <w:numPr>
        <w:ilvl w:val="0"/>
        <w:numId w:val="2"/>
      </w:numPr>
      <w:tabs>
        <w:tab w:val="clear" w:pos="720"/>
      </w:tabs>
      <w:ind w:hanging="721" w:start="2882" w:end="0"/>
    </w:pPr>
    <w:rPr/>
  </w:style>
  <w:style w:type="paragraph" w:styleId="Quick1">
    <w:name w:val="Quick 1."/>
    <w:basedOn w:val="Normal"/>
    <w:qFormat/>
    <w:pPr>
      <w:numPr>
        <w:ilvl w:val="0"/>
        <w:numId w:val="3"/>
      </w:numPr>
      <w:tabs>
        <w:tab w:val="clear" w:pos="720"/>
      </w:tabs>
      <w:ind w:hanging="721" w:start="2882"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2000-07-11T16:28:00Z</dcterms:created>
  <dc:creator>gkeevil</dc:creator>
  <dc:description/>
  <dc:language>en-CA</dc:language>
  <cp:lastModifiedBy>gkeevil</cp:lastModifiedBy>
  <dcterms:modified xsi:type="dcterms:W3CDTF">2000-07-11T16:28:00Z</dcterms:modified>
  <cp:revision>2</cp:revision>
  <dc:subject/>
  <dc:title>MEMORANDUM</dc:title>
</cp:coreProperties>
</file>