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[Date]</w:t>
      </w:r>
    </w:p>
    <w:p>
      <w:pPr>
        <w:pStyle w:val="Normal"/>
        <w:widowControl/>
        <w:rPr>
          <w:sz w:val="22"/>
          <w:u w:val="single"/>
        </w:rPr>
      </w:pPr>
      <w:r>
        <w:rPr>
          <w:sz w:val="22"/>
          <w:u w:val="single"/>
        </w:rPr>
      </w:r>
    </w:p>
    <w:p>
      <w:pPr>
        <w:pStyle w:val="Normal"/>
        <w:widowControl/>
        <w:ind w:firstLine="720" w:end="0"/>
        <w:rPr>
          <w:sz w:val="22"/>
        </w:rPr>
      </w:pPr>
      <w:r>
        <w:rPr>
          <w:sz w:val="22"/>
        </w:rPr>
        <w:t>To:</w:t>
        <w:tab/>
        <w:tab/>
        <w:tab/>
        <w:tab/>
        <w:t>Gaylord Container Corp. (“Party B”)</w:t>
      </w:r>
    </w:p>
    <w:p>
      <w:pPr>
        <w:pStyle w:val="Normal"/>
        <w:widowControl/>
        <w:rPr>
          <w:sz w:val="22"/>
        </w:rPr>
      </w:pPr>
      <w:r>
        <w:rPr>
          <w:sz w:val="22"/>
        </w:rPr>
      </w:r>
    </w:p>
    <w:p>
      <w:pPr>
        <w:pStyle w:val="Normal"/>
        <w:widowControl/>
        <w:ind w:firstLine="720" w:end="0"/>
        <w:rPr>
          <w:sz w:val="22"/>
        </w:rPr>
      </w:pPr>
      <w:r>
        <w:rPr>
          <w:sz w:val="22"/>
        </w:rPr>
        <w:t xml:space="preserve">Attention: </w:t>
        <w:tab/>
        <w:tab/>
        <w:tab/>
        <w:t>Jim Kelly</w:t>
      </w:r>
    </w:p>
    <w:p>
      <w:pPr>
        <w:pStyle w:val="Normal"/>
        <w:widowControl/>
        <w:rPr>
          <w:sz w:val="22"/>
        </w:rPr>
      </w:pPr>
      <w:r>
        <w:rPr>
          <w:sz w:val="22"/>
        </w:rPr>
      </w:r>
    </w:p>
    <w:p>
      <w:pPr>
        <w:pStyle w:val="Normal"/>
        <w:widowControl/>
        <w:ind w:firstLine="720" w:end="0"/>
        <w:rPr>
          <w:sz w:val="22"/>
        </w:rPr>
      </w:pPr>
      <w:r>
        <w:rPr>
          <w:sz w:val="22"/>
        </w:rPr>
        <w:t>Fax Number:</w:t>
        <w:tab/>
        <w:tab/>
        <w:tab/>
        <w:t>[Fax]</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ENA Deal No. _______</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[24,000 Short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[1,000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42 Lb Unbleached Kraftliner</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[To be agreed]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[January 1,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31, 2002]</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[January 1, 2000] and the final Calculation Period ending on [December 31, 2002]</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$455.00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jc w:val="both"/>
              <w:rPr/>
            </w:pPr>
            <w:r>
              <w:rPr>
                <w:sz w:val="22"/>
              </w:rPr>
              <w:t xml:space="preserve">The Fallback Reference Price for any Calculation Period shall be an amount equal to the sum of (a) the price per </w:t>
            </w:r>
            <w:r>
              <w:rPr>
                <w:color w:val="FF0000"/>
                <w:sz w:val="22"/>
              </w:rPr>
              <w:t>Short Ton</w:t>
            </w:r>
            <w:r>
              <w:rPr>
                <w:sz w:val="22"/>
              </w:rPr>
              <w:t xml:space="preserve"> of 42 Lb Unbleached Kraftliner, stated in U.S. Dollars, delivered in the Eastern U.S., published under the heading: “</w:t>
            </w:r>
            <w:r>
              <w:rPr>
                <w:color w:val="FF0000"/>
                <w:sz w:val="22"/>
              </w:rPr>
              <w:t>Table 2: Paper Packaging Monthly Price Summary: Dollars per Short Ton: Containerboard: 42 Lb. Unbleached Kraftliner: Eastern U.S.: Price</w:t>
            </w:r>
            <w:r>
              <w:rPr>
                <w:sz w:val="22"/>
              </w:rPr>
              <w:t xml:space="preserve">” in the issue of </w:t>
            </w:r>
            <w:r>
              <w:rPr>
                <w:color w:val="FF0000"/>
                <w:sz w:val="22"/>
                <w:u w:val="single"/>
              </w:rPr>
              <w:t>Paper Packaging Monitor</w:t>
            </w:r>
            <w:r>
              <w:rPr>
                <w:sz w:val="22"/>
              </w:rPr>
              <w:t xml:space="preserve"> (or its successor publication, as published by </w:t>
            </w:r>
            <w:r>
              <w:rPr>
                <w:color w:val="FF0000"/>
                <w:sz w:val="22"/>
              </w:rPr>
              <w:t>Resource Information Systems, Inc.</w:t>
            </w:r>
            <w:r>
              <w:rPr>
                <w:sz w:val="22"/>
              </w:rPr>
              <w:t xml:space="preserve">, or its successor) that reports prices effective for such Calculation Period and (b) an amount (which may be negative) equal to the difference between (i) the average of the prices per 42 Lb Unbleached Kraftliner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Short Ton</w:t>
            </w:r>
            <w:r>
              <w:rPr>
                <w:sz w:val="22"/>
              </w:rPr>
              <w:t xml:space="preserve"> of 42 Lb Unbleached Kraftliner as determined in accordance with subsection (a) above for each month in which such price is available for the twelve calendar months immediately preceding the relevant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widowControl/>
              <w:jc w:val="both"/>
              <w:rPr/>
            </w:pPr>
            <w:r>
              <w:rPr>
                <w:b/>
                <w:sz w:val="22"/>
                <w:u w:val="single"/>
              </w:rPr>
              <w:t>Credit Provisions</w:t>
            </w:r>
            <w:r>
              <w:rPr>
                <w:sz w:val="22"/>
              </w:rPr>
              <w:t>:</w:t>
            </w:r>
          </w:p>
        </w:tc>
        <w:tc>
          <w:tcPr>
            <w:tcW w:w="4788" w:type="dxa"/>
            <w:tcBorders/>
          </w:tcPr>
          <w:p>
            <w:pPr>
              <w:pStyle w:val="Normal"/>
              <w:jc w:val="both"/>
              <w:rPr/>
            </w:pPr>
            <w:r>
              <w:rPr>
                <w:sz w:val="22"/>
              </w:rPr>
              <w:t>As collateral security for this Transaction, on or before [Date], Party B shall Transfer (as defined in the Agreement) to Party A, Cash or a Letter of Credit in the amount of $500,000 (the “</w:t>
            </w:r>
            <w:r>
              <w:rPr>
                <w:sz w:val="22"/>
                <w:u w:val="single"/>
              </w:rPr>
              <w:t>Independent Amount</w:t>
            </w:r>
            <w:r>
              <w:rPr>
                <w:sz w:val="22"/>
              </w:rPr>
              <w:t>”) which Independent Amount shall be maintained in favor of Party A in accordance with the terms and provisions of the Agreement (including the Credit Support Annex attached thereto), provide however that such Independent Amount shall be amortized quarterly in the amount of $40,000. The Independent Amount shall be in the form required by the Agreement (including the Credit Support Annex attached thereto.)  Party B’s failure to provide such collateral security by the time period specified above shall constitute an Event of Default pursuant the Credit Support Annex that is attached to the Agreement.</w:t>
            </w:r>
          </w:p>
        </w:tc>
      </w:tr>
    </w:tbl>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Gaylord Container Corp.</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FOR DISCUSSION PURPOSES ONLY                                       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2000-01-07T18:33:00Z</dcterms:created>
  <dc:creator>Enron</dc:creator>
  <dc:description/>
  <dc:language>en-CA</dc:language>
  <cp:lastModifiedBy>jcyprow</cp:lastModifiedBy>
  <cp:lastPrinted>1999-05-28T13:30:00Z</cp:lastPrinted>
  <dcterms:modified xsi:type="dcterms:W3CDTF">2000-01-07T19:59:00Z</dcterms:modified>
  <cp:revision>4</cp:revision>
  <dc:subject/>
  <dc:title>[ECT LETTERHEAD]</dc:title>
</cp:coreProperties>
</file>