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Lost Creek Gathering Company, L.L.C. &amp; Fort Union Gas Gathering, L.L.C.</w:t>
      </w:r>
    </w:p>
    <w:p>
      <w:pPr>
        <w:pStyle w:val="Normal"/>
        <w:jc w:val="center"/>
        <w:rPr>
          <w:b/>
          <w:bCs/>
        </w:rPr>
      </w:pPr>
      <w:r>
        <w:rPr>
          <w:b/>
          <w:bCs/>
        </w:rPr>
        <w:t>Purchase &amp; Sale Agreement Representations and Warranties</w:t>
      </w:r>
    </w:p>
    <w:p>
      <w:pPr>
        <w:pStyle w:val="Normal"/>
        <w:jc w:val="center"/>
        <w:rPr>
          <w:b/>
          <w:bCs/>
        </w:rPr>
      </w:pPr>
      <w:r>
        <w:rPr>
          <w:b/>
          <w:bCs/>
        </w:rPr>
      </w:r>
    </w:p>
    <w:p>
      <w:pPr>
        <w:pStyle w:val="Normal"/>
        <w:jc w:val="both"/>
        <w:rPr>
          <w:b/>
          <w:bCs/>
        </w:rPr>
      </w:pPr>
      <w:r>
        <w:rPr>
          <w:b/>
          <w:bCs/>
        </w:rPr>
      </w:r>
    </w:p>
    <w:p>
      <w:pPr>
        <w:pStyle w:val="BodyText"/>
        <w:rPr/>
      </w:pPr>
      <w:r>
        <w:rPr/>
        <w:t>Note:  All reps. and warranties are made “to the knowledge of Enron North America Corp.”</w:t>
      </w:r>
    </w:p>
    <w:p>
      <w:pPr>
        <w:pStyle w:val="Normal"/>
        <w:jc w:val="both"/>
        <w:rPr/>
      </w:pPr>
      <w:r>
        <w:rPr/>
      </w:r>
    </w:p>
    <w:p>
      <w:pPr>
        <w:pStyle w:val="Heading3"/>
        <w:widowControl/>
        <w:ind w:hanging="0" w:start="0" w:end="0"/>
        <w:rPr/>
      </w:pPr>
      <w:r>
        <w:rPr>
          <w:b/>
          <w:bCs/>
        </w:rPr>
        <w:t xml:space="preserve">1.  </w:t>
      </w:r>
      <w:r>
        <w:rPr>
          <w:b/>
          <w:bCs/>
          <w:u w:val="single"/>
        </w:rPr>
        <w:t>Compliance with Laws; Permits</w:t>
      </w:r>
      <w:r>
        <w:rPr>
          <w:b/>
          <w:bCs/>
        </w:rPr>
        <w:t>.</w:t>
      </w:r>
    </w:p>
    <w:p>
      <w:pPr>
        <w:pStyle w:val="Heading4"/>
        <w:widowControl/>
        <w:ind w:hanging="0" w:start="0" w:end="0"/>
        <w:rPr/>
      </w:pPr>
      <w:r>
        <w:rPr/>
        <w:t xml:space="preserve">Except for Jurisdictional Laws (as to which Seller does not make any representation), each Transferred Company is, and at all times since its formation, has been, and, to Seller’s knowledge, each </w:t>
      </w:r>
      <w:r>
        <w:rPr>
          <w:b/>
          <w:bCs/>
        </w:rPr>
        <w:t>Gathering Company</w:t>
      </w:r>
      <w:r>
        <w:rPr/>
        <w:t xml:space="preserve">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w:t>
      </w:r>
      <w:r>
        <w:rPr>
          <w:u w:val="single"/>
        </w:rPr>
        <w:t>,</w:t>
      </w:r>
      <w:r>
        <w:rPr/>
        <w:t xml:space="preserve"> a Material Adverse Effect on the Transferred Companies.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w:t>
      </w:r>
      <w:r>
        <w:rPr>
          <w:b/>
          <w:bCs/>
        </w:rPr>
        <w:t>Gathering Company</w:t>
      </w:r>
      <w:r>
        <w:rPr/>
        <w:t xml:space="preserve"> has received any order, notice or other communication from any Governmental Authority of any alleged, actual or potential violation and/or failure to comply with any such Legal Requirements.</w:t>
      </w:r>
    </w:p>
    <w:p>
      <w:pPr>
        <w:pStyle w:val="Heading3"/>
        <w:widowControl/>
        <w:ind w:hanging="0" w:start="0" w:end="0"/>
        <w:rPr/>
      </w:pPr>
      <w:r>
        <w:rPr>
          <w:b/>
          <w:bCs/>
        </w:rPr>
        <w:t>2.</w:t>
        <w:tab/>
      </w:r>
      <w:r>
        <w:rPr>
          <w:b/>
          <w:bCs/>
          <w:u w:val="single"/>
        </w:rPr>
        <w:t>Condition of Property</w:t>
      </w:r>
      <w:r>
        <w:rPr>
          <w:b/>
          <w:bCs/>
        </w:rPr>
        <w:t xml:space="preserve">.  </w:t>
      </w:r>
    </w:p>
    <w:p>
      <w:pPr>
        <w:pStyle w:val="Heading3"/>
        <w:widowControl/>
        <w:ind w:hanging="0" w:start="0" w:end="0"/>
        <w:rPr/>
      </w:pPr>
      <w:r>
        <w:rPr/>
        <w:t xml:space="preserve">Except as set forth on </w:t>
      </w:r>
      <w:r>
        <w:rPr>
          <w:u w:val="single"/>
        </w:rPr>
        <w:t>Schedule 3.1(o)</w:t>
      </w:r>
      <w:r>
        <w:rPr/>
        <w:t xml:space="preserve">, the buildings, plants, structures and equipment owned or leased by EMS (including the EMS Gathering System), and, to the knowledge of Seller, owned or leased by each </w:t>
      </w:r>
      <w:r>
        <w:rPr>
          <w:b/>
          <w:bCs/>
        </w:rPr>
        <w:t>Gathering Company</w:t>
      </w:r>
      <w:r>
        <w:rPr/>
        <w:t>, are structurally sound, are in good operating condition and repair, are reasonably fit for the purposes for which they are intended to be used, and none of such buildings, plants, structures or equipment is in need of maintenance or repairs</w:t>
      </w:r>
      <w:r>
        <w:rPr>
          <w:u w:val="single"/>
        </w:rPr>
        <w:t>,</w:t>
      </w:r>
      <w:r>
        <w:rPr/>
        <w:t xml:space="preserve">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widowControl/>
        <w:ind w:hanging="0" w:start="0" w:end="0"/>
        <w:rPr/>
      </w:pPr>
      <w:r>
        <w:rPr>
          <w:b/>
          <w:bCs/>
        </w:rPr>
        <w:t>3.</w:t>
        <w:tab/>
      </w:r>
      <w:r>
        <w:rPr>
          <w:b/>
          <w:bCs/>
          <w:u w:val="single"/>
        </w:rPr>
        <w:t>Litigation</w:t>
      </w:r>
      <w:r>
        <w:rPr>
          <w:b/>
          <w:bCs/>
        </w:rPr>
        <w:t xml:space="preserve">.  </w:t>
      </w:r>
    </w:p>
    <w:p>
      <w:pPr>
        <w:pStyle w:val="Heading3"/>
        <w:widowControl/>
        <w:ind w:hanging="0" w:start="0" w:end="0"/>
        <w:rPr/>
      </w:pPr>
      <w:r>
        <w:rPr/>
        <w:t xml:space="preserve">Except as otherwise set forth on </w:t>
      </w:r>
      <w:r>
        <w:rPr>
          <w:u w:val="single"/>
        </w:rPr>
        <w:t>Schedule 3.1(p)</w:t>
      </w:r>
      <w:r>
        <w:rPr/>
        <w:t xml:space="preserve">,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w:t>
      </w:r>
      <w:r>
        <w:rPr>
          <w:b/>
          <w:bCs/>
        </w:rPr>
        <w:t>Gathering Company</w:t>
      </w:r>
      <w:r>
        <w:rPr/>
        <w:t xml:space="preserve"> or their respective assets, which, in each case, if adversely determined, will have or could reasonably be expected to have, individually or in the aggregate, a Material Adverse Effect on the Transferred Companies.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widowControl/>
        <w:ind w:hanging="0" w:start="0" w:end="0"/>
        <w:rPr/>
      </w:pPr>
      <w:r>
        <w:rPr>
          <w:b/>
          <w:bCs/>
        </w:rPr>
        <w:t>4.</w:t>
        <w:tab/>
      </w:r>
      <w:r>
        <w:rPr>
          <w:b/>
          <w:bCs/>
          <w:u w:val="single"/>
        </w:rPr>
        <w:t>Taxes</w:t>
      </w:r>
      <w:r>
        <w:rPr>
          <w:b/>
          <w:bCs/>
        </w:rPr>
        <w:t xml:space="preserve">.  </w:t>
      </w:r>
    </w:p>
    <w:p>
      <w:pPr>
        <w:pStyle w:val="Heading4"/>
        <w:widowControl/>
        <w:ind w:hanging="0" w:start="0" w:end="0"/>
        <w:rPr/>
      </w:pPr>
      <w:r>
        <w:rPr/>
        <w:t>(i)</w:t>
        <w:tab/>
        <w:t xml:space="preserve">Each Transferred Company, and to Seller’s knowledge, each </w:t>
      </w:r>
      <w:r>
        <w:rPr>
          <w:b/>
          <w:bCs/>
        </w:rPr>
        <w:t>Gathering Company</w:t>
      </w:r>
      <w:r>
        <w:rPr/>
        <w:t>, has: (A) timely filed all federal, state and local returns, declarations, reports, estimates, information returns and statements required to be filed by it with respect to any Taxes (“</w:t>
      </w:r>
      <w:r>
        <w:rPr>
          <w:u w:val="single"/>
        </w:rPr>
        <w:t>Tax Returns</w:t>
      </w:r>
      <w:r>
        <w:rPr/>
        <w:t xml:space="preserve">”); and (B) timely paid all Taxes that are reflected on such Tax Returns.  To Seller’s knowledge, all such Tax Returns were correct and complete in all material respects and properly reflect any Tax Liabilities of each Transferred Company or </w:t>
      </w:r>
      <w:r>
        <w:rPr>
          <w:b/>
          <w:bCs/>
        </w:rPr>
        <w:t>Gathering Company</w:t>
      </w:r>
      <w:r>
        <w:rPr/>
        <w:t>.</w:t>
      </w:r>
    </w:p>
    <w:p>
      <w:pPr>
        <w:pStyle w:val="BodyText"/>
        <w:rPr/>
      </w:pPr>
      <w:r>
        <w:rPr/>
        <w:t>(ii)</w:t>
        <w:tab/>
        <w:t xml:space="preserve">To Seller’s knowledge, no audits or other administrative or court proceedings are presently pending with regard to any federal, state or local Taxes for which a Transferred Company or </w:t>
      </w:r>
      <w:r>
        <w:rPr>
          <w:b/>
          <w:bCs/>
        </w:rPr>
        <w:t>Gathering Company</w:t>
      </w:r>
      <w:r>
        <w:rPr/>
        <w:t xml:space="preserve">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w:t>
      </w:r>
      <w:r>
        <w:rPr>
          <w:b/>
          <w:bCs/>
        </w:rPr>
        <w:t xml:space="preserve">Gathering Company </w:t>
      </w:r>
      <w:r>
        <w:rPr/>
        <w:t xml:space="preserve">would be liable.  There are no Liens (other than Permitted Liens) on any assets of any Transferred Company resulting from the failure of that Transferred Company to pay any Taxes.  Each Transferred Company has, and to Seller’s knowledge, each </w:t>
      </w:r>
      <w:r>
        <w:rPr>
          <w:b/>
          <w:bCs/>
        </w:rPr>
        <w:t>Gathering Company</w:t>
      </w:r>
      <w:r>
        <w:rPr/>
        <w:t xml:space="preserve"> has, withheld and paid all Taxes required to have been paid in connection with amounts paid or owing to any employee, independent contractor, creditor, member or any third party.</w:t>
      </w:r>
    </w:p>
    <w:p>
      <w:pPr>
        <w:pStyle w:val="Normal"/>
        <w:rPr/>
      </w:pPr>
      <w:r>
        <w:rPr/>
      </w:r>
    </w:p>
    <w:p>
      <w:pPr>
        <w:pStyle w:val="Heading3"/>
        <w:widowControl/>
        <w:ind w:hanging="0" w:start="0" w:end="0"/>
        <w:rPr/>
      </w:pPr>
      <w:r>
        <w:rPr>
          <w:b/>
          <w:bCs/>
        </w:rPr>
        <w:t>5.</w:t>
        <w:tab/>
      </w:r>
      <w:r>
        <w:rPr>
          <w:b/>
          <w:bCs/>
          <w:u w:val="single"/>
        </w:rPr>
        <w:t>Environmental Compliance</w:t>
      </w:r>
      <w:r>
        <w:rPr>
          <w:b/>
          <w:bCs/>
        </w:rPr>
        <w:t>.</w:t>
      </w:r>
      <w:r>
        <w:rPr/>
        <w:t xml:space="preserve">  Except as set forth in </w:t>
      </w:r>
      <w:r>
        <w:rPr>
          <w:u w:val="single"/>
        </w:rPr>
        <w:t>Schedule 3.1(v)</w:t>
      </w:r>
      <w:r>
        <w:rPr/>
        <w:t>:</w:t>
      </w:r>
    </w:p>
    <w:p>
      <w:pPr>
        <w:pStyle w:val="Heading4"/>
        <w:widowControl/>
        <w:ind w:hanging="0" w:start="0" w:end="0"/>
        <w:rPr/>
      </w:pPr>
      <w:r>
        <w:rPr/>
        <w:t>(i)</w:t>
        <w:tab/>
        <w:t xml:space="preserve">Each Transferred Company is on the date of this Agreement and has been and will be on the Closing Date in compliance with Environmental, Laws in all material respects, and to the knowledge of Seller, each </w:t>
      </w:r>
      <w:r>
        <w:rPr>
          <w:b/>
          <w:bCs/>
        </w:rPr>
        <w:t>Gathering Company</w:t>
      </w:r>
      <w:r>
        <w:rPr/>
        <w:t xml:space="preserve"> is and has been and will be on the Closing Date in compliance with all Environmental Laws in all material respects;</w:t>
      </w:r>
    </w:p>
    <w:p>
      <w:pPr>
        <w:pStyle w:val="Heading4"/>
        <w:widowControl/>
        <w:ind w:hanging="0" w:start="0" w:end="0"/>
        <w:rPr/>
      </w:pPr>
      <w:r>
        <w:rPr/>
        <w:t>(ii)</w:t>
        <w:tab/>
        <w:t xml:space="preserve">Each Transferred Company, and, to Seller’s knowledge, each </w:t>
      </w:r>
      <w:r>
        <w:rPr>
          <w:b/>
          <w:bCs/>
        </w:rPr>
        <w:t>Gathering Company</w:t>
      </w:r>
      <w:r>
        <w:rPr/>
        <w:t>, has made all notices and obtained all material permits, licenses and registration required by Environmental Laws, or has submitted applications for them, and is in material compliance with their terms and conditions;</w:t>
      </w:r>
    </w:p>
    <w:p>
      <w:pPr>
        <w:pStyle w:val="Heading4"/>
        <w:widowControl/>
        <w:ind w:hanging="0" w:start="0" w:end="0"/>
        <w:rPr/>
      </w:pPr>
      <w:r>
        <w:rPr/>
        <w:t>(iii)</w:t>
        <w:tab/>
        <w:t xml:space="preserve">No Governmental Authority or any third person has made any environmental claim against a Transferred Company or, to Seller’s knowledge, a </w:t>
      </w:r>
      <w:r>
        <w:rPr>
          <w:b/>
          <w:bCs/>
        </w:rPr>
        <w:t>Gathering Company</w:t>
      </w:r>
      <w:r>
        <w:rPr/>
        <w:t>, including the filing of any lawsuit, the commencement of any administrative action or proceeding, or the issuance of any order, decree, consent agreement or notice of violation, and, to Seller’s knowledge, no such claim is threatened;</w:t>
      </w:r>
    </w:p>
    <w:p>
      <w:pPr>
        <w:pStyle w:val="Heading4"/>
        <w:widowControl/>
        <w:ind w:hanging="0" w:start="0" w:end="0"/>
        <w:rPr/>
      </w:pPr>
      <w:r>
        <w:rPr/>
        <w:t>(iv)</w:t>
        <w:tab/>
        <w:t xml:space="preserve">No Hazardous Materials that have been generated or transported by a Transferred Company, or to Seller’s knowledge, a </w:t>
      </w:r>
      <w:r>
        <w:rPr>
          <w:b/>
          <w:bCs/>
        </w:rPr>
        <w:t>Gathering Company</w:t>
      </w:r>
      <w:r>
        <w:rPr/>
        <w:t xml:space="preserve">, have been disposed of at a site which at the time of the Closing is on the National Priorities List, the CERCLIS or any analogous list of State Superfund sites, nor has a Transferred Company or, to Seller’s knowledge, a </w:t>
      </w:r>
      <w:r>
        <w:rPr>
          <w:b/>
          <w:bCs/>
        </w:rPr>
        <w:t>Gathering Company</w:t>
      </w:r>
      <w:r>
        <w:rPr/>
        <w:t xml:space="preserve">, received notice that any Governmental Authority claims or, to Seller’s knowledge, threatens to claim, that a Transferred Company or a </w:t>
      </w:r>
      <w:r>
        <w:rPr>
          <w:b/>
          <w:bCs/>
        </w:rPr>
        <w:t>Gathering Company</w:t>
      </w:r>
      <w:r>
        <w:rPr/>
        <w:t xml:space="preserve"> is a potentially responsible party in connection with a cleanup authorized by CERCLA;</w:t>
      </w:r>
    </w:p>
    <w:p>
      <w:pPr>
        <w:pStyle w:val="Heading4"/>
        <w:widowControl/>
        <w:ind w:hanging="0" w:start="0" w:end="0"/>
        <w:rPr/>
      </w:pPr>
      <w:r>
        <w:rPr/>
        <w:t>(v)</w:t>
        <w:tab/>
        <w:t xml:space="preserve">To the Seller’s knowledge, there have been no material releases of Hazardous Materials to surface waters or groundwater by a Transferred Company or a </w:t>
      </w:r>
      <w:r>
        <w:rPr>
          <w:b/>
          <w:bCs/>
        </w:rPr>
        <w:t>Gathering Company</w:t>
      </w:r>
      <w:r>
        <w:rPr/>
        <w:t xml:space="preserve"> in violation of Environmental Laws.</w:t>
      </w:r>
    </w:p>
    <w:p>
      <w:pPr>
        <w:pStyle w:val="Normal"/>
        <w:rPr/>
      </w:pPr>
      <w:r>
        <w:rPr/>
      </w:r>
    </w:p>
    <w:p>
      <w:pPr>
        <w:pStyle w:val="BodyText"/>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widowControl w:val="false"/>
      <w:numPr>
        <w:ilvl w:val="2"/>
        <w:numId w:val="1"/>
      </w:numPr>
      <w:overflowPunct w:val="false"/>
      <w:autoSpaceDE w:val="false"/>
      <w:spacing w:before="0" w:after="240"/>
      <w:ind w:firstLine="720" w:start="720" w:end="0"/>
      <w:jc w:val="both"/>
      <w:textAlignment w:val="baseline"/>
      <w:outlineLvl w:val="2"/>
    </w:pPr>
    <w:rPr>
      <w:szCs w:val="20"/>
    </w:rPr>
  </w:style>
  <w:style w:type="paragraph" w:styleId="Heading4">
    <w:name w:val="heading 4"/>
    <w:basedOn w:val="Normal"/>
    <w:next w:val="BodyText"/>
    <w:qFormat/>
    <w:pPr>
      <w:widowControl w:val="false"/>
      <w:numPr>
        <w:ilvl w:val="3"/>
        <w:numId w:val="1"/>
      </w:numPr>
      <w:overflowPunct w:val="false"/>
      <w:autoSpaceDE w:val="false"/>
      <w:spacing w:before="0" w:after="240"/>
      <w:ind w:firstLine="720" w:start="1440" w:end="0"/>
      <w:jc w:val="both"/>
      <w:textAlignment w:val="baseline"/>
      <w:outlineLvl w:val="3"/>
    </w:pPr>
    <w:rPr>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2000-08-25T12:22:00Z</dcterms:created>
  <dc:creator>gnemec</dc:creator>
  <dc:description/>
  <dc:language>en-CA</dc:language>
  <cp:lastModifiedBy>gnemec</cp:lastModifiedBy>
  <dcterms:modified xsi:type="dcterms:W3CDTF">2000-08-25T12:40:00Z</dcterms:modified>
  <cp:revision>11</cp:revision>
  <dc:subject/>
  <dc:title/>
</cp:coreProperties>
</file>