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sz w:val="24"/>
        </w:rPr>
      </w:pPr>
      <w:r>
        <w:rPr>
          <w:b/>
          <w:sz w:val="24"/>
        </w:rPr>
      </w:r>
    </w:p>
    <w:p>
      <w:pPr>
        <w:pStyle w:val="Normal"/>
        <w:jc w:val="end"/>
        <w:rPr>
          <w:b/>
          <w:sz w:val="24"/>
        </w:rPr>
      </w:pPr>
      <w:r>
        <w:rPr>
          <w:b/>
          <w:sz w:val="24"/>
        </w:rPr>
        <w:t>FIRM DEMAND FEE DEDICATED WELLHEAD</w:t>
      </w:r>
    </w:p>
    <w:p>
      <w:pPr>
        <w:pStyle w:val="Normal"/>
        <w:jc w:val="both"/>
        <w:rPr>
          <w:b/>
          <w:sz w:val="24"/>
        </w:rPr>
      </w:pPr>
      <w:r>
        <w:rPr>
          <w:b/>
          <w:sz w:val="24"/>
        </w:rPr>
      </w:r>
    </w:p>
    <w:p>
      <w:pPr>
        <w:pStyle w:val="Normal"/>
        <w:jc w:val="both"/>
        <w:rPr>
          <w:sz w:val="24"/>
          <w:u w:val="single"/>
        </w:rPr>
      </w:pPr>
      <w:r>
        <w:rPr>
          <w:sz w:val="24"/>
          <w:u w:val="single"/>
        </w:rPr>
      </w:r>
    </w:p>
    <w:p>
      <w:pPr>
        <w:pStyle w:val="Normal"/>
        <w:jc w:val="both"/>
        <w:rPr>
          <w:sz w:val="24"/>
          <w:u w:val="single"/>
        </w:rPr>
      </w:pPr>
      <w:r>
        <w:rPr>
          <w:sz w:val="24"/>
          <w:u w:val="single"/>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center"/>
        <w:rPr>
          <w:b/>
          <w:sz w:val="24"/>
        </w:rPr>
      </w:pPr>
      <w:r>
        <w:rPr>
          <w:b/>
          <w:sz w:val="24"/>
        </w:rPr>
        <w:t>GAS GATHERING AGREEMENT</w:t>
      </w:r>
    </w:p>
    <w:p>
      <w:pPr>
        <w:pStyle w:val="Normal"/>
        <w:jc w:val="center"/>
        <w:rPr>
          <w:b/>
          <w:sz w:val="24"/>
        </w:rPr>
      </w:pPr>
      <w:r>
        <w:rPr>
          <w:b/>
          <w:sz w:val="24"/>
        </w:rPr>
      </w:r>
    </w:p>
    <w:p>
      <w:pPr>
        <w:pStyle w:val="Normal"/>
        <w:jc w:val="center"/>
        <w:rPr>
          <w:sz w:val="24"/>
        </w:rPr>
      </w:pPr>
      <w:r>
        <w:rPr>
          <w:sz w:val="24"/>
        </w:rPr>
      </w:r>
    </w:p>
    <w:p>
      <w:pPr>
        <w:pStyle w:val="Normal"/>
        <w:jc w:val="center"/>
        <w:rPr>
          <w:b/>
          <w:sz w:val="24"/>
        </w:rPr>
      </w:pPr>
      <w:r>
        <w:rPr>
          <w:b/>
          <w:sz w:val="24"/>
        </w:rPr>
        <w:t>BETWEEN</w:t>
      </w:r>
    </w:p>
    <w:p>
      <w:pPr>
        <w:pStyle w:val="Normal"/>
        <w:jc w:val="center"/>
        <w:rPr>
          <w:b/>
          <w:sz w:val="24"/>
        </w:rPr>
      </w:pPr>
      <w:r>
        <w:rPr>
          <w:b/>
          <w:sz w:val="24"/>
        </w:rPr>
      </w:r>
    </w:p>
    <w:p>
      <w:pPr>
        <w:pStyle w:val="Normal"/>
        <w:jc w:val="center"/>
        <w:rPr>
          <w:sz w:val="24"/>
        </w:rPr>
      </w:pPr>
      <w:r>
        <w:rPr>
          <w:sz w:val="24"/>
        </w:rPr>
      </w:r>
    </w:p>
    <w:p>
      <w:pPr>
        <w:pStyle w:val="Normal"/>
        <w:jc w:val="center"/>
        <w:rPr>
          <w:b/>
          <w:sz w:val="24"/>
        </w:rPr>
      </w:pPr>
      <w:r>
        <w:rPr>
          <w:b/>
          <w:sz w:val="24"/>
        </w:rPr>
        <w:t>LOST CREEK GATHERING COMPANY, L.L.C.</w:t>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t>AND</w:t>
      </w:r>
    </w:p>
    <w:p>
      <w:pPr>
        <w:pStyle w:val="Normal"/>
        <w:jc w:val="center"/>
        <w:rPr>
          <w:b/>
          <w:sz w:val="24"/>
        </w:rPr>
      </w:pPr>
      <w:r>
        <w:rPr>
          <w:b/>
          <w:sz w:val="24"/>
        </w:rPr>
      </w:r>
    </w:p>
    <w:p>
      <w:pPr>
        <w:pStyle w:val="Normal"/>
        <w:jc w:val="center"/>
        <w:rPr>
          <w:b/>
          <w:sz w:val="24"/>
        </w:rPr>
      </w:pPr>
      <w:r>
        <w:rPr>
          <w:b/>
          <w:sz w:val="24"/>
        </w:rPr>
      </w:r>
    </w:p>
    <w:p>
      <w:pPr>
        <w:pStyle w:val="Normal"/>
        <w:jc w:val="center"/>
        <w:rPr>
          <w:b/>
          <w:caps/>
          <w:sz w:val="24"/>
        </w:rPr>
      </w:pPr>
      <w:r>
        <w:rPr>
          <w:b/>
          <w:caps/>
          <w:sz w:val="24"/>
        </w:rPr>
        <w:t>NORTH cENTRAL OIL CORPORATION</w:t>
      </w:r>
    </w:p>
    <w:p>
      <w:pPr>
        <w:pStyle w:val="Normal"/>
        <w:jc w:val="center"/>
        <w:rPr>
          <w:b/>
          <w:caps/>
          <w:sz w:val="24"/>
        </w:rPr>
      </w:pPr>
      <w:r>
        <w:rPr>
          <w:b/>
          <w:caps/>
          <w:sz w:val="24"/>
        </w:rPr>
      </w:r>
    </w:p>
    <w:p>
      <w:pPr>
        <w:pStyle w:val="Normal"/>
        <w:jc w:val="center"/>
        <w:rPr>
          <w:b/>
          <w:caps/>
          <w:sz w:val="24"/>
        </w:rPr>
      </w:pPr>
      <w:r>
        <w:rPr>
          <w:b/>
          <w:caps/>
          <w:sz w:val="24"/>
        </w:rPr>
      </w:r>
    </w:p>
    <w:p>
      <w:pPr>
        <w:pStyle w:val="Normal"/>
        <w:jc w:val="center"/>
        <w:rPr>
          <w:b/>
          <w:caps/>
          <w:sz w:val="24"/>
        </w:rPr>
      </w:pPr>
      <w:r>
        <w:rPr>
          <w:b/>
          <w:caps/>
          <w:sz w:val="24"/>
        </w:rPr>
        <w:t>DATED MAY 1, 2000</w:t>
      </w:r>
    </w:p>
    <w:p>
      <w:pPr>
        <w:pStyle w:val="Normal"/>
        <w:jc w:val="both"/>
        <w:rPr>
          <w:b/>
          <w:caps/>
          <w:sz w:val="24"/>
        </w:rPr>
      </w:pPr>
      <w:r>
        <w:rPr>
          <w:b/>
          <w:caps/>
          <w:sz w:val="24"/>
        </w:rPr>
      </w:r>
    </w:p>
    <w:p>
      <w:pPr>
        <w:pStyle w:val="Normal"/>
        <w:jc w:val="both"/>
        <w:rPr>
          <w:b/>
          <w:sz w:val="24"/>
        </w:rPr>
      </w:pPr>
      <w:r>
        <w:rPr>
          <w:b/>
          <w:sz w:val="24"/>
        </w:rPr>
      </w:r>
      <w:r>
        <w:br w:type="page"/>
      </w:r>
    </w:p>
    <w:p>
      <w:pPr>
        <w:pStyle w:val="Normal"/>
        <w:jc w:val="center"/>
        <w:rPr>
          <w:b/>
          <w:sz w:val="24"/>
        </w:rPr>
      </w:pPr>
      <w:r>
        <w:rPr>
          <w:b/>
          <w:sz w:val="24"/>
        </w:rPr>
        <w:t>GAS GATHERING AGREEMENT</w:t>
      </w:r>
    </w:p>
    <w:p>
      <w:pPr>
        <w:pStyle w:val="Normal"/>
        <w:jc w:val="center"/>
        <w:rPr/>
      </w:pPr>
      <w:r>
        <w:rPr/>
        <w:t>TABLE OF CONTENTS</w:t>
      </w:r>
    </w:p>
    <w:tbl>
      <w:tblPr>
        <w:tblW w:w="9576" w:type="dxa"/>
        <w:jc w:val="start"/>
        <w:tblInd w:w="0" w:type="dxa"/>
        <w:tblLayout w:type="fixed"/>
        <w:tblCellMar>
          <w:top w:w="0" w:type="dxa"/>
          <w:start w:w="108" w:type="dxa"/>
          <w:bottom w:w="0" w:type="dxa"/>
          <w:end w:w="108" w:type="dxa"/>
        </w:tblCellMar>
      </w:tblPr>
      <w:tblGrid>
        <w:gridCol w:w="864"/>
        <w:gridCol w:w="239"/>
        <w:gridCol w:w="265"/>
        <w:gridCol w:w="7020"/>
        <w:gridCol w:w="142"/>
        <w:gridCol w:w="38"/>
        <w:gridCol w:w="322"/>
        <w:gridCol w:w="218"/>
        <w:gridCol w:w="468"/>
      </w:tblGrid>
      <w:tr>
        <w:trPr/>
        <w:tc>
          <w:tcPr>
            <w:tcW w:w="1368" w:type="dxa"/>
            <w:gridSpan w:val="3"/>
            <w:tcBorders/>
          </w:tcPr>
          <w:p>
            <w:pPr>
              <w:pStyle w:val="Normal"/>
              <w:jc w:val="center"/>
              <w:rPr>
                <w:b/>
                <w:sz w:val="24"/>
                <w:u w:val="single"/>
              </w:rPr>
            </w:pPr>
            <w:r>
              <w:rPr>
                <w:b/>
                <w:sz w:val="24"/>
                <w:u w:val="single"/>
              </w:rPr>
              <w:t>ARTICLE</w:t>
            </w:r>
          </w:p>
        </w:tc>
        <w:tc>
          <w:tcPr>
            <w:tcW w:w="7020" w:type="dxa"/>
            <w:tcBorders/>
          </w:tcPr>
          <w:p>
            <w:pPr>
              <w:pStyle w:val="Normal"/>
              <w:snapToGrid w:val="false"/>
              <w:jc w:val="center"/>
              <w:rPr>
                <w:b/>
                <w:sz w:val="24"/>
                <w:u w:val="single"/>
              </w:rPr>
            </w:pPr>
            <w:r>
              <w:rPr>
                <w:b/>
                <w:sz w:val="24"/>
                <w:u w:val="single"/>
              </w:rPr>
            </w:r>
          </w:p>
        </w:tc>
        <w:tc>
          <w:tcPr>
            <w:tcW w:w="1188" w:type="dxa"/>
            <w:gridSpan w:val="5"/>
            <w:tcBorders/>
          </w:tcPr>
          <w:p>
            <w:pPr>
              <w:pStyle w:val="Normal"/>
              <w:jc w:val="center"/>
              <w:rPr>
                <w:b/>
                <w:sz w:val="24"/>
                <w:u w:val="single"/>
              </w:rPr>
            </w:pPr>
            <w:r>
              <w:rPr>
                <w:b/>
                <w:sz w:val="24"/>
                <w:u w:val="single"/>
              </w:rPr>
              <w:t>PAGE</w:t>
            </w:r>
          </w:p>
        </w:tc>
      </w:tr>
      <w:tr>
        <w:trPr/>
        <w:tc>
          <w:tcPr>
            <w:tcW w:w="864" w:type="dxa"/>
            <w:tcBorders/>
          </w:tcPr>
          <w:p>
            <w:pPr>
              <w:pStyle w:val="Normal"/>
              <w:tabs>
                <w:tab w:val="clear" w:pos="720"/>
                <w:tab w:val="left" w:pos="1296" w:leader="none"/>
                <w:tab w:val="right" w:pos="7488" w:leader="none"/>
                <w:tab w:val="left" w:pos="8064" w:leader="none"/>
              </w:tabs>
              <w:spacing w:before="240" w:after="0"/>
              <w:jc w:val="end"/>
              <w:rPr>
                <w:sz w:val="24"/>
              </w:rPr>
            </w:pPr>
            <w:r>
              <w:rPr>
                <w:sz w:val="24"/>
              </w:rPr>
              <w:t>I</w:t>
            </w:r>
          </w:p>
        </w:tc>
        <w:tc>
          <w:tcPr>
            <w:tcW w:w="239" w:type="dxa"/>
            <w:tcBorders/>
          </w:tcPr>
          <w:p>
            <w:pPr>
              <w:pStyle w:val="Normal"/>
              <w:tabs>
                <w:tab w:val="clear" w:pos="720"/>
                <w:tab w:val="left" w:pos="1296" w:leader="none"/>
                <w:tab w:val="right" w:pos="7488" w:leader="none"/>
                <w:tab w:val="left" w:pos="8064" w:leader="none"/>
              </w:tabs>
              <w:snapToGrid w:val="false"/>
              <w:spacing w:before="24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40" w:after="0"/>
              <w:rPr>
                <w:sz w:val="24"/>
              </w:rPr>
            </w:pPr>
            <w:r>
              <w:rPr>
                <w:sz w:val="24"/>
              </w:rPr>
              <w:t>DEFINITIONS</w:t>
            </w:r>
          </w:p>
        </w:tc>
        <w:tc>
          <w:tcPr>
            <w:tcW w:w="540" w:type="dxa"/>
            <w:gridSpan w:val="2"/>
            <w:tcBorders/>
          </w:tcPr>
          <w:p>
            <w:pPr>
              <w:pStyle w:val="Normal"/>
              <w:tabs>
                <w:tab w:val="clear" w:pos="720"/>
                <w:tab w:val="left" w:pos="1296" w:leader="none"/>
                <w:tab w:val="right" w:pos="7488" w:leader="none"/>
                <w:tab w:val="left" w:pos="8064" w:leader="none"/>
              </w:tabs>
              <w:spacing w:before="240" w:after="0"/>
              <w:jc w:val="end"/>
              <w:rPr>
                <w:sz w:val="24"/>
              </w:rPr>
            </w:pPr>
            <w:r>
              <w:rPr>
                <w:sz w:val="24"/>
              </w:rPr>
              <w:t>1</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GAS TO BE GATHERED</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4</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III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RATES AND STATEMENTS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5</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IV</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TERM AND MINIMUM VOLUME</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6</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V</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pPr>
            <w:r>
              <w:rPr>
                <w:sz w:val="24"/>
              </w:rPr>
              <w:t xml:space="preserve">RECEIPT </w:t>
            </w:r>
            <w:r>
              <w:rPr>
                <w:caps/>
                <w:sz w:val="24"/>
              </w:rPr>
              <w:t>Point(S</w:t>
            </w:r>
            <w:r>
              <w:rPr>
                <w:sz w:val="24"/>
              </w:rPr>
              <w:t>), DELIVERY POINT(S), QUALITY, PRESSURES, AND REDUCTIONS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6</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VI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INTERRUPTION OF SERVICE</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7</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VII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SCHEDULING OF RECEIPTS AND DELIVERIES AND IMBALANCE RESOLUTION</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9</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VIII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REGULATORY REQUIREMENTS, CONDITIONS PRECEDENT AND REPRESENTATIONS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11</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IX</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NOTICES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11</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RIGHTS OF WAY</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13</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caps/>
                <w:sz w:val="24"/>
              </w:rPr>
              <w:t>miscellaneous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13</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caps/>
                <w:sz w:val="24"/>
              </w:rPr>
            </w:pPr>
            <w:r>
              <w:rPr>
                <w:sz w:val="24"/>
              </w:rPr>
              <w:t>FORCE MAJEURE</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16</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XIII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LIMITATION OF LIABILITY AND INDEMNIFICATION</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17</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XIV</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TAXES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19</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XV</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GOVERNING LAW</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19</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27" w:type="dxa"/>
            <w:gridSpan w:val="3"/>
            <w:tcBorders/>
          </w:tcPr>
          <w:p>
            <w:pPr>
              <w:pStyle w:val="Normal"/>
              <w:tabs>
                <w:tab w:val="clear" w:pos="720"/>
                <w:tab w:val="left" w:pos="1296" w:leader="none"/>
                <w:tab w:val="right" w:pos="7488" w:leader="none"/>
                <w:tab w:val="left" w:pos="8064" w:leader="none"/>
              </w:tabs>
              <w:spacing w:before="200" w:after="0"/>
              <w:rPr>
                <w:sz w:val="24"/>
              </w:rPr>
            </w:pPr>
            <w:r>
              <w:rPr>
                <w:sz w:val="24"/>
              </w:rPr>
              <w:t>EXHIBIT "A"</w:t>
            </w:r>
          </w:p>
        </w:tc>
        <w:tc>
          <w:tcPr>
            <w:tcW w:w="360" w:type="dxa"/>
            <w:gridSpan w:val="2"/>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686" w:type="dxa"/>
            <w:gridSpan w:val="2"/>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27" w:type="dxa"/>
            <w:gridSpan w:val="3"/>
            <w:tcBorders/>
          </w:tcPr>
          <w:p>
            <w:pPr>
              <w:pStyle w:val="Normal"/>
              <w:tabs>
                <w:tab w:val="clear" w:pos="720"/>
                <w:tab w:val="left" w:pos="1296" w:leader="none"/>
                <w:tab w:val="right" w:pos="7488" w:leader="none"/>
                <w:tab w:val="left" w:pos="8064" w:leader="none"/>
              </w:tabs>
              <w:spacing w:before="200" w:after="0"/>
              <w:rPr>
                <w:sz w:val="24"/>
              </w:rPr>
            </w:pPr>
            <w:r>
              <w:rPr>
                <w:sz w:val="24"/>
              </w:rPr>
              <w:t>EXHIBIT "B"</w:t>
            </w:r>
          </w:p>
        </w:tc>
        <w:tc>
          <w:tcPr>
            <w:tcW w:w="360" w:type="dxa"/>
            <w:gridSpan w:val="2"/>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686" w:type="dxa"/>
            <w:gridSpan w:val="2"/>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27" w:type="dxa"/>
            <w:gridSpan w:val="3"/>
            <w:tcBorders/>
          </w:tcPr>
          <w:p>
            <w:pPr>
              <w:pStyle w:val="Normal"/>
              <w:tabs>
                <w:tab w:val="clear" w:pos="720"/>
                <w:tab w:val="left" w:pos="1296" w:leader="none"/>
                <w:tab w:val="right" w:pos="7488" w:leader="none"/>
                <w:tab w:val="left" w:pos="8064" w:leader="none"/>
              </w:tabs>
              <w:spacing w:before="200" w:after="0"/>
              <w:rPr>
                <w:sz w:val="24"/>
              </w:rPr>
            </w:pPr>
            <w:r>
              <w:rPr>
                <w:sz w:val="24"/>
              </w:rPr>
              <w:t>EXHIBIT "C"</w:t>
            </w:r>
          </w:p>
        </w:tc>
        <w:tc>
          <w:tcPr>
            <w:tcW w:w="360" w:type="dxa"/>
            <w:gridSpan w:val="2"/>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686" w:type="dxa"/>
            <w:gridSpan w:val="2"/>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27" w:type="dxa"/>
            <w:gridSpan w:val="3"/>
            <w:tcBorders/>
          </w:tcPr>
          <w:p>
            <w:pPr>
              <w:pStyle w:val="Heading7"/>
              <w:numPr>
                <w:ilvl w:val="0"/>
                <w:numId w:val="0"/>
              </w:numPr>
              <w:tabs>
                <w:tab w:val="clear" w:pos="720"/>
                <w:tab w:val="left" w:pos="1296" w:leader="none"/>
                <w:tab w:val="right" w:pos="7488" w:leader="none"/>
                <w:tab w:val="left" w:pos="8064" w:leader="none"/>
              </w:tabs>
              <w:spacing w:before="200" w:after="0"/>
              <w:ind w:hanging="0" w:start="0"/>
              <w:rPr>
                <w:spacing w:val="0"/>
              </w:rPr>
            </w:pPr>
            <w:r>
              <w:rPr>
                <w:spacing w:val="0"/>
              </w:rPr>
              <w:t>EXHIBIT "D"</w:t>
            </w:r>
          </w:p>
        </w:tc>
        <w:tc>
          <w:tcPr>
            <w:tcW w:w="360" w:type="dxa"/>
            <w:gridSpan w:val="2"/>
            <w:tcBorders/>
          </w:tcPr>
          <w:p>
            <w:pPr>
              <w:pStyle w:val="Normal"/>
              <w:tabs>
                <w:tab w:val="clear" w:pos="720"/>
                <w:tab w:val="left" w:pos="1296" w:leader="none"/>
                <w:tab w:val="right" w:pos="7488" w:leader="none"/>
                <w:tab w:val="left" w:pos="8064" w:leader="none"/>
              </w:tabs>
              <w:snapToGrid w:val="false"/>
              <w:spacing w:before="200" w:after="0"/>
              <w:jc w:val="end"/>
              <w:rPr>
                <w:spacing w:val="0"/>
                <w:sz w:val="24"/>
              </w:rPr>
            </w:pPr>
            <w:r>
              <w:rPr>
                <w:spacing w:val="0"/>
                <w:sz w:val="24"/>
              </w:rPr>
            </w:r>
          </w:p>
        </w:tc>
        <w:tc>
          <w:tcPr>
            <w:tcW w:w="686" w:type="dxa"/>
            <w:gridSpan w:val="2"/>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27" w:type="dxa"/>
            <w:gridSpan w:val="3"/>
            <w:tcBorders/>
          </w:tcPr>
          <w:p>
            <w:pPr>
              <w:pStyle w:val="Normal"/>
              <w:tabs>
                <w:tab w:val="clear" w:pos="720"/>
                <w:tab w:val="left" w:pos="1296" w:leader="none"/>
                <w:tab w:val="right" w:pos="7488" w:leader="none"/>
                <w:tab w:val="left" w:pos="8064" w:leader="none"/>
              </w:tabs>
              <w:spacing w:before="200" w:after="0"/>
              <w:rPr>
                <w:sz w:val="24"/>
              </w:rPr>
            </w:pPr>
            <w:r>
              <w:rPr>
                <w:sz w:val="24"/>
              </w:rPr>
              <w:t>APPENDIX</w:t>
            </w:r>
          </w:p>
        </w:tc>
        <w:tc>
          <w:tcPr>
            <w:tcW w:w="360" w:type="dxa"/>
            <w:gridSpan w:val="2"/>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686" w:type="dxa"/>
            <w:gridSpan w:val="2"/>
            <w:tcBorders/>
            <w:tcMar>
              <w:start w:w="0" w:type="dxa"/>
              <w:end w:w="0" w:type="dxa"/>
            </w:tcMar>
          </w:tcPr>
          <w:p>
            <w:pPr>
              <w:pStyle w:val="Normal"/>
              <w:snapToGrid w:val="false"/>
              <w:rPr>
                <w:sz w:val="24"/>
              </w:rPr>
            </w:pPr>
            <w:r>
              <w:rPr>
                <w:sz w:val="24"/>
              </w:rPr>
            </w:r>
          </w:p>
        </w:tc>
      </w:tr>
    </w:tbl>
    <w:p>
      <w:pPr>
        <w:sectPr>
          <w:footerReference w:type="default" r:id="rId2"/>
          <w:type w:val="nextPage"/>
          <w:pgSz w:w="12240" w:h="15840"/>
          <w:pgMar w:left="1440" w:right="1440" w:gutter="0" w:header="0" w:top="1152" w:footer="720" w:bottom="1152"/>
          <w:pgNumType w:fmt="decimal"/>
          <w:formProt w:val="false"/>
          <w:textDirection w:val="lrTb"/>
          <w:docGrid w:type="default" w:linePitch="360" w:charSpace="0"/>
        </w:sectPr>
        <w:pStyle w:val="Normal"/>
        <w:spacing w:before="180" w:after="0"/>
        <w:rPr>
          <w:sz w:val="24"/>
        </w:rPr>
      </w:pPr>
      <w:r>
        <w:rPr>
          <w:sz w:val="24"/>
        </w:rPr>
        <w:t>This Table of Contents is attached for convenience purposes only and is not considered a part of the Agreement.</w:t>
      </w:r>
    </w:p>
    <w:p>
      <w:pPr>
        <w:pStyle w:val="Normal"/>
        <w:jc w:val="center"/>
        <w:rPr>
          <w:b/>
          <w:sz w:val="24"/>
        </w:rPr>
      </w:pPr>
      <w:r>
        <w:rPr>
          <w:b/>
          <w:sz w:val="24"/>
        </w:rPr>
        <w:t>GAS GATHERING AGREEMENT</w:t>
      </w:r>
    </w:p>
    <w:p>
      <w:pPr>
        <w:pStyle w:val="Normal"/>
        <w:jc w:val="both"/>
        <w:rPr>
          <w:b/>
          <w:sz w:val="24"/>
        </w:rPr>
      </w:pPr>
      <w:r>
        <w:rPr>
          <w:b/>
          <w:sz w:val="24"/>
        </w:rPr>
      </w:r>
    </w:p>
    <w:p>
      <w:pPr>
        <w:pStyle w:val="Normal"/>
        <w:jc w:val="both"/>
        <w:rPr>
          <w:sz w:val="24"/>
        </w:rPr>
      </w:pPr>
      <w:r>
        <w:rPr>
          <w:sz w:val="24"/>
        </w:rPr>
      </w:r>
    </w:p>
    <w:p>
      <w:pPr>
        <w:pStyle w:val="Normal"/>
        <w:ind w:firstLine="720" w:end="0"/>
        <w:jc w:val="both"/>
        <w:rPr/>
      </w:pPr>
      <w:r>
        <w:rPr>
          <w:b/>
          <w:sz w:val="24"/>
        </w:rPr>
        <w:t>THIS AGREEMENT</w:t>
      </w:r>
      <w:r>
        <w:rPr>
          <w:sz w:val="24"/>
        </w:rPr>
        <w:t xml:space="preserve"> is made this 1</w:t>
      </w:r>
      <w:r>
        <w:rPr>
          <w:sz w:val="24"/>
          <w:vertAlign w:val="superscript"/>
        </w:rPr>
        <w:t>st</w:t>
      </w:r>
      <w:r>
        <w:rPr>
          <w:sz w:val="24"/>
        </w:rPr>
        <w:t xml:space="preserve"> Day of May, 2000, by and between </w:t>
      </w:r>
      <w:r>
        <w:rPr>
          <w:b/>
          <w:sz w:val="24"/>
        </w:rPr>
        <w:t xml:space="preserve">LOST CREEK GATHERING COMPANY, L.L.C., </w:t>
      </w:r>
      <w:r>
        <w:rPr>
          <w:sz w:val="24"/>
        </w:rPr>
        <w:t>a Delaware limited liability company, hereinafter referred to as "</w:t>
      </w:r>
      <w:r>
        <w:rPr>
          <w:sz w:val="24"/>
          <w:u w:val="single"/>
        </w:rPr>
        <w:t>Lost Creek</w:t>
      </w:r>
      <w:r>
        <w:rPr>
          <w:sz w:val="24"/>
        </w:rPr>
        <w:t xml:space="preserve">", and </w:t>
      </w:r>
      <w:r>
        <w:rPr>
          <w:b/>
          <w:caps/>
          <w:sz w:val="24"/>
        </w:rPr>
        <w:t>NORTH CENTRAL OIL CORPORATION,</w:t>
      </w:r>
      <w:r>
        <w:rPr>
          <w:sz w:val="24"/>
        </w:rPr>
        <w:t xml:space="preserve"> a Delaware corporation, hereinafter referred to as "</w:t>
      </w:r>
      <w:r>
        <w:rPr>
          <w:sz w:val="24"/>
          <w:u w:val="single"/>
        </w:rPr>
        <w:t>Shipper</w:t>
      </w:r>
      <w:r>
        <w:rPr>
          <w:sz w:val="24"/>
        </w:rPr>
        <w:t>".</w:t>
      </w:r>
    </w:p>
    <w:p>
      <w:pPr>
        <w:pStyle w:val="Normal"/>
        <w:ind w:firstLine="720" w:end="0"/>
        <w:jc w:val="both"/>
        <w:rPr>
          <w:sz w:val="24"/>
        </w:rPr>
      </w:pPr>
      <w:r>
        <w:rPr>
          <w:sz w:val="24"/>
        </w:rPr>
      </w:r>
    </w:p>
    <w:p>
      <w:pPr>
        <w:pStyle w:val="Normal"/>
        <w:ind w:firstLine="720" w:end="0"/>
        <w:jc w:val="both"/>
        <w:rPr/>
      </w:pPr>
      <w:r>
        <w:rPr>
          <w:b/>
          <w:sz w:val="24"/>
        </w:rPr>
        <w:t>WHEREAS,</w:t>
      </w:r>
      <w:r>
        <w:rPr>
          <w:sz w:val="24"/>
        </w:rPr>
        <w:t xml:space="preserve"> Lost Creek owns and operates a natural gas gathering system; and</w:t>
      </w:r>
    </w:p>
    <w:p>
      <w:pPr>
        <w:pStyle w:val="Normal"/>
        <w:ind w:firstLine="720" w:end="0"/>
        <w:jc w:val="both"/>
        <w:rPr>
          <w:sz w:val="24"/>
        </w:rPr>
      </w:pPr>
      <w:r>
        <w:rPr>
          <w:sz w:val="24"/>
        </w:rPr>
      </w:r>
    </w:p>
    <w:p>
      <w:pPr>
        <w:pStyle w:val="Normal"/>
        <w:ind w:firstLine="720" w:end="0"/>
        <w:jc w:val="both"/>
        <w:rPr/>
      </w:pPr>
      <w:r>
        <w:rPr>
          <w:b/>
          <w:sz w:val="24"/>
        </w:rPr>
        <w:t>WHEREAS</w:t>
      </w:r>
      <w:r>
        <w:rPr>
          <w:sz w:val="24"/>
        </w:rPr>
        <w:t>, Lost Creek and Shipper, desire to enter into an agreement providing for the gathering by Lost Creek of quantities of Shipper's Gas from certain points of receipt to certain points of delivery.</w:t>
      </w:r>
    </w:p>
    <w:p>
      <w:pPr>
        <w:pStyle w:val="Normal"/>
        <w:ind w:firstLine="720" w:end="0"/>
        <w:jc w:val="both"/>
        <w:rPr>
          <w:sz w:val="24"/>
        </w:rPr>
      </w:pPr>
      <w:r>
        <w:rPr>
          <w:sz w:val="24"/>
        </w:rPr>
      </w:r>
    </w:p>
    <w:p>
      <w:pPr>
        <w:pStyle w:val="Normal"/>
        <w:ind w:firstLine="720" w:end="0"/>
        <w:jc w:val="both"/>
        <w:rPr/>
      </w:pPr>
      <w:r>
        <w:rPr>
          <w:b/>
          <w:sz w:val="24"/>
        </w:rPr>
        <w:t>NOW THEREFORE,</w:t>
      </w:r>
      <w:r>
        <w:rPr>
          <w:sz w:val="24"/>
        </w:rPr>
        <w:t xml:space="preserve"> in consideration of the representations, covenants and conditions herein contained, Lost Creek and Shipper agree as follows:</w:t>
      </w:r>
    </w:p>
    <w:p>
      <w:pPr>
        <w:pStyle w:val="Normal"/>
        <w:jc w:val="both"/>
        <w:rPr>
          <w:sz w:val="24"/>
        </w:rPr>
      </w:pPr>
      <w:r>
        <w:rPr>
          <w:sz w:val="24"/>
        </w:rPr>
      </w:r>
    </w:p>
    <w:p>
      <w:pPr>
        <w:pStyle w:val="Normal"/>
        <w:jc w:val="center"/>
        <w:rPr>
          <w:b/>
          <w:sz w:val="24"/>
        </w:rPr>
      </w:pPr>
      <w:r>
        <w:rPr>
          <w:b/>
          <w:sz w:val="24"/>
        </w:rPr>
        <w:t>ARTICLE I</w:t>
      </w:r>
    </w:p>
    <w:p>
      <w:pPr>
        <w:pStyle w:val="Normal"/>
        <w:jc w:val="center"/>
        <w:rPr>
          <w:b/>
          <w:sz w:val="24"/>
          <w:u w:val="single"/>
        </w:rPr>
      </w:pPr>
      <w:r>
        <w:rPr>
          <w:b/>
          <w:sz w:val="24"/>
          <w:u w:val="single"/>
        </w:rPr>
        <w:t>DEFINITIONS</w:t>
      </w:r>
    </w:p>
    <w:p>
      <w:pPr>
        <w:pStyle w:val="Normal"/>
        <w:jc w:val="both"/>
        <w:rPr>
          <w:b/>
          <w:sz w:val="24"/>
          <w:u w:val="single"/>
        </w:rPr>
      </w:pPr>
      <w:r>
        <w:rPr>
          <w:b/>
          <w:sz w:val="24"/>
          <w:u w:val="single"/>
        </w:rPr>
      </w:r>
    </w:p>
    <w:p>
      <w:pPr>
        <w:pStyle w:val="Normal"/>
        <w:numPr>
          <w:ilvl w:val="0"/>
          <w:numId w:val="7"/>
        </w:numPr>
        <w:jc w:val="both"/>
        <w:rPr>
          <w:sz w:val="24"/>
        </w:rPr>
      </w:pPr>
      <w:r>
        <w:rPr>
          <w:b/>
          <w:sz w:val="24"/>
          <w:u w:val="single"/>
        </w:rPr>
        <w:t xml:space="preserve">Affiliate - </w:t>
      </w:r>
      <w:r>
        <w:rPr>
          <w:sz w:val="24"/>
        </w:rPr>
        <w:t>shall mean, as to the person specified, any person controlling, controlled by or under common control with such person, with the concept of control in such context meaning the possession, directly or indirectly, of the power to direct or cause the direction of the management or policies of another, whether through the ownership of voting securities, by contract or otherwise.</w:t>
      </w:r>
    </w:p>
    <w:p>
      <w:pPr>
        <w:pStyle w:val="Normal"/>
        <w:jc w:val="both"/>
        <w:rPr>
          <w:sz w:val="24"/>
        </w:rPr>
      </w:pPr>
      <w:r>
        <w:rPr>
          <w:sz w:val="24"/>
        </w:rPr>
      </w:r>
    </w:p>
    <w:p>
      <w:pPr>
        <w:pStyle w:val="Normal"/>
        <w:numPr>
          <w:ilvl w:val="0"/>
          <w:numId w:val="7"/>
        </w:numPr>
        <w:jc w:val="both"/>
        <w:rPr>
          <w:sz w:val="24"/>
        </w:rPr>
      </w:pPr>
      <w:r>
        <w:rPr>
          <w:b/>
          <w:sz w:val="24"/>
          <w:u w:val="single"/>
        </w:rPr>
        <w:t>Assignment</w:t>
      </w:r>
      <w:r>
        <w:rPr>
          <w:sz w:val="24"/>
        </w:rPr>
        <w:t xml:space="preserve"> – Shall mean, with respect to a party's rights and obligations under this Agreement, a transfer by such party of its rights and obligations under this Agreement to another person and a corresponding assumption by such other person of the rights and obligations of the transferring person under this Agreement and the terms "Assign" and "Assigning" shall be construed accordingly. </w:t>
      </w:r>
    </w:p>
    <w:p>
      <w:pPr>
        <w:pStyle w:val="Normal"/>
        <w:jc w:val="both"/>
        <w:rPr>
          <w:sz w:val="24"/>
        </w:rPr>
      </w:pPr>
      <w:r>
        <w:rPr>
          <w:sz w:val="24"/>
        </w:rPr>
      </w:r>
    </w:p>
    <w:p>
      <w:pPr>
        <w:pStyle w:val="Normal"/>
        <w:numPr>
          <w:ilvl w:val="0"/>
          <w:numId w:val="7"/>
        </w:numPr>
        <w:jc w:val="both"/>
        <w:rPr>
          <w:sz w:val="24"/>
        </w:rPr>
      </w:pPr>
      <w:r>
        <w:rPr>
          <w:b/>
          <w:sz w:val="24"/>
          <w:u w:val="single"/>
        </w:rPr>
        <w:t>British Thermal Unit ("Btu")</w:t>
      </w:r>
      <w:r>
        <w:rPr>
          <w:sz w:val="24"/>
        </w:rPr>
        <w:t xml:space="preserve"> – One (1) Btu shall mean one British thermal unit and is defined as the amount of heat required to raise the temperature of one (1) pound of pure water from fifty-nine degrees Fahrenheit (59ºF) to sixty degrees Fahrenheit (60ºF) at Standard Pressure.</w:t>
      </w:r>
    </w:p>
    <w:p>
      <w:pPr>
        <w:pStyle w:val="Normal"/>
        <w:jc w:val="both"/>
        <w:rPr>
          <w:b/>
          <w:sz w:val="24"/>
          <w:u w:val="single"/>
        </w:rPr>
      </w:pPr>
      <w:r>
        <w:rPr>
          <w:b/>
          <w:sz w:val="24"/>
          <w:u w:val="single"/>
        </w:rPr>
      </w:r>
    </w:p>
    <w:p>
      <w:pPr>
        <w:pStyle w:val="Normal"/>
        <w:numPr>
          <w:ilvl w:val="0"/>
          <w:numId w:val="7"/>
        </w:numPr>
        <w:jc w:val="both"/>
        <w:rPr>
          <w:sz w:val="24"/>
        </w:rPr>
      </w:pPr>
      <w:r>
        <w:rPr>
          <w:b/>
          <w:sz w:val="24"/>
          <w:u w:val="single"/>
        </w:rPr>
        <w:t>Committed Reserves</w:t>
      </w:r>
      <w:r>
        <w:rPr>
          <w:sz w:val="24"/>
        </w:rPr>
        <w:t xml:space="preserve"> – Shall have the meaning set forth in Section 2.1.</w:t>
      </w:r>
    </w:p>
    <w:p>
      <w:pPr>
        <w:pStyle w:val="Normal"/>
        <w:numPr>
          <w:ilvl w:val="0"/>
          <w:numId w:val="0"/>
        </w:numPr>
        <w:ind w:hanging="576" w:start="576" w:end="0"/>
        <w:jc w:val="both"/>
        <w:rPr>
          <w:sz w:val="24"/>
        </w:rPr>
      </w:pPr>
      <w:r>
        <w:rPr>
          <w:sz w:val="24"/>
        </w:rPr>
      </w:r>
    </w:p>
    <w:p>
      <w:pPr>
        <w:pStyle w:val="Normal"/>
        <w:numPr>
          <w:ilvl w:val="0"/>
          <w:numId w:val="7"/>
        </w:numPr>
        <w:jc w:val="both"/>
        <w:rPr>
          <w:sz w:val="24"/>
        </w:rPr>
      </w:pPr>
      <w:r>
        <w:rPr>
          <w:b/>
          <w:sz w:val="24"/>
          <w:u w:val="single"/>
        </w:rPr>
        <w:t>Cubic Foot of Gas</w:t>
      </w:r>
      <w:r>
        <w:rPr>
          <w:sz w:val="24"/>
        </w:rPr>
        <w:t xml:space="preserve"> – The quantity of Gas which would occupy a volume of one (1) cubic foot of space when such gas is at Standard Pressure and a standard temperature of sixty degrees Fahrenheit (60ºF).</w:t>
      </w:r>
    </w:p>
    <w:p>
      <w:pPr>
        <w:pStyle w:val="Normal"/>
        <w:numPr>
          <w:ilvl w:val="0"/>
          <w:numId w:val="0"/>
        </w:numPr>
        <w:ind w:hanging="576" w:start="576" w:end="0"/>
        <w:jc w:val="both"/>
        <w:rPr>
          <w:sz w:val="24"/>
        </w:rPr>
      </w:pPr>
      <w:r>
        <w:rPr>
          <w:sz w:val="24"/>
        </w:rPr>
      </w:r>
    </w:p>
    <w:p>
      <w:pPr>
        <w:pStyle w:val="Normal"/>
        <w:numPr>
          <w:ilvl w:val="0"/>
          <w:numId w:val="7"/>
        </w:numPr>
        <w:jc w:val="both"/>
        <w:rPr>
          <w:sz w:val="24"/>
        </w:rPr>
      </w:pPr>
      <w:r>
        <w:rPr>
          <w:b/>
          <w:sz w:val="24"/>
          <w:u w:val="single"/>
        </w:rPr>
        <w:t>Curtail or Curtailment</w:t>
      </w:r>
      <w:r>
        <w:rPr>
          <w:sz w:val="24"/>
        </w:rPr>
        <w:t xml:space="preserve"> – The acceptance by Lost Creek of less volumes of Gas than Shipper is Tendering for Gathering at the Receipt Point(s) as more fully specified in Section 6.3 hereof.</w:t>
      </w:r>
    </w:p>
    <w:p>
      <w:pPr>
        <w:pStyle w:val="Normal"/>
        <w:numPr>
          <w:ilvl w:val="0"/>
          <w:numId w:val="0"/>
        </w:numPr>
        <w:ind w:hanging="576" w:start="576" w:end="0"/>
        <w:jc w:val="both"/>
        <w:rPr>
          <w:sz w:val="24"/>
        </w:rPr>
      </w:pPr>
      <w:r>
        <w:rPr>
          <w:sz w:val="24"/>
        </w:rPr>
      </w:r>
    </w:p>
    <w:p>
      <w:pPr>
        <w:pStyle w:val="Normal"/>
        <w:numPr>
          <w:ilvl w:val="0"/>
          <w:numId w:val="7"/>
        </w:numPr>
        <w:jc w:val="both"/>
        <w:rPr>
          <w:sz w:val="24"/>
        </w:rPr>
      </w:pPr>
      <w:r>
        <w:rPr>
          <w:b/>
          <w:sz w:val="24"/>
          <w:u w:val="single"/>
        </w:rPr>
        <w:t>Day</w:t>
      </w:r>
      <w:r>
        <w:rPr>
          <w:sz w:val="24"/>
        </w:rPr>
        <w:t xml:space="preserve"> – A period of twenty-four (24) consecutive hours commencing at nine (9:00) a.m., Central Clock Time, or such other time as the parties may agree upon.</w:t>
      </w:r>
    </w:p>
    <w:p>
      <w:pPr>
        <w:pStyle w:val="Normal"/>
        <w:numPr>
          <w:ilvl w:val="0"/>
          <w:numId w:val="0"/>
        </w:numPr>
        <w:ind w:hanging="576" w:start="576" w:end="0"/>
        <w:jc w:val="both"/>
        <w:rPr>
          <w:sz w:val="24"/>
        </w:rPr>
      </w:pPr>
      <w:r>
        <w:rPr>
          <w:sz w:val="24"/>
        </w:rPr>
      </w:r>
    </w:p>
    <w:p>
      <w:pPr>
        <w:pStyle w:val="Normal"/>
        <w:numPr>
          <w:ilvl w:val="0"/>
          <w:numId w:val="7"/>
        </w:numPr>
        <w:jc w:val="both"/>
        <w:rPr>
          <w:sz w:val="24"/>
        </w:rPr>
      </w:pPr>
      <w:r>
        <w:rPr>
          <w:b/>
          <w:sz w:val="24"/>
          <w:u w:val="single"/>
        </w:rPr>
        <w:t>Delivery Point(s)</w:t>
      </w:r>
      <w:r>
        <w:rPr>
          <w:sz w:val="24"/>
        </w:rPr>
        <w:t xml:space="preserve"> – Those location(s) set forth on </w:t>
      </w:r>
      <w:r>
        <w:rPr>
          <w:sz w:val="24"/>
          <w:u w:val="single"/>
        </w:rPr>
        <w:t>Exhibit "B</w:t>
      </w:r>
      <w:r>
        <w:rPr>
          <w:sz w:val="24"/>
        </w:rPr>
        <w:t>" at which Lost Creek will deliver Shipper's Gas.</w:t>
      </w:r>
    </w:p>
    <w:p>
      <w:pPr>
        <w:pStyle w:val="Normal"/>
        <w:jc w:val="both"/>
        <w:rPr>
          <w:b/>
          <w:sz w:val="24"/>
          <w:u w:val="single"/>
        </w:rPr>
      </w:pPr>
      <w:r>
        <w:rPr>
          <w:b/>
          <w:sz w:val="24"/>
          <w:u w:val="single"/>
        </w:rPr>
      </w:r>
    </w:p>
    <w:p>
      <w:pPr>
        <w:pStyle w:val="Normal"/>
        <w:numPr>
          <w:ilvl w:val="0"/>
          <w:numId w:val="7"/>
        </w:numPr>
        <w:jc w:val="both"/>
        <w:rPr>
          <w:sz w:val="24"/>
        </w:rPr>
      </w:pPr>
      <w:r>
        <w:rPr>
          <w:b/>
          <w:sz w:val="24"/>
          <w:u w:val="single"/>
        </w:rPr>
        <w:t>Fees</w:t>
      </w:r>
      <w:r>
        <w:rPr>
          <w:sz w:val="24"/>
        </w:rPr>
        <w:t xml:space="preserve"> – Collectively refer to the Fixed Gathering Fee and the Variable Services Fee, together with any other amounts that may be payable by Shipper to Lost Creek pursuant to the terms of this Agreement.</w:t>
      </w:r>
    </w:p>
    <w:p>
      <w:pPr>
        <w:pStyle w:val="Normal"/>
        <w:rPr>
          <w:b/>
          <w:sz w:val="24"/>
          <w:u w:val="single"/>
        </w:rPr>
      </w:pPr>
      <w:r>
        <w:rPr>
          <w:b/>
          <w:sz w:val="24"/>
          <w:u w:val="single"/>
        </w:rPr>
      </w:r>
    </w:p>
    <w:p>
      <w:pPr>
        <w:pStyle w:val="Normal"/>
        <w:numPr>
          <w:ilvl w:val="0"/>
          <w:numId w:val="7"/>
        </w:numPr>
        <w:jc w:val="both"/>
        <w:rPr>
          <w:sz w:val="24"/>
        </w:rPr>
      </w:pPr>
      <w:r>
        <w:rPr>
          <w:b/>
          <w:sz w:val="24"/>
          <w:u w:val="single"/>
        </w:rPr>
        <w:t>Fixed Gathering Fee</w:t>
      </w:r>
      <w:r>
        <w:rPr>
          <w:sz w:val="24"/>
        </w:rPr>
        <w:t xml:space="preserve"> – Shall have the meaning set forth in Section 3.2 below.</w:t>
      </w:r>
    </w:p>
    <w:p>
      <w:pPr>
        <w:pStyle w:val="Normal"/>
        <w:jc w:val="both"/>
        <w:rPr>
          <w:b/>
          <w:sz w:val="24"/>
          <w:u w:val="single"/>
        </w:rPr>
      </w:pPr>
      <w:r>
        <w:rPr>
          <w:b/>
          <w:sz w:val="24"/>
          <w:u w:val="single"/>
        </w:rPr>
      </w:r>
    </w:p>
    <w:p>
      <w:pPr>
        <w:pStyle w:val="Normal"/>
        <w:numPr>
          <w:ilvl w:val="0"/>
          <w:numId w:val="7"/>
        </w:numPr>
        <w:jc w:val="both"/>
        <w:rPr>
          <w:sz w:val="24"/>
        </w:rPr>
      </w:pPr>
      <w:r>
        <w:rPr>
          <w:b/>
          <w:sz w:val="24"/>
          <w:u w:val="single"/>
        </w:rPr>
        <w:t>Fixed Quantity</w:t>
      </w:r>
      <w:r>
        <w:rPr>
          <w:sz w:val="24"/>
        </w:rPr>
        <w:t xml:space="preserve"> – Shall mean twenty-five thousand (25,000) MMBtu of Gas Per Day during the Initial Term and zero (0) MMBtu of Gas per Day thereafter.  </w:t>
      </w:r>
    </w:p>
    <w:p>
      <w:pPr>
        <w:pStyle w:val="Normal"/>
        <w:jc w:val="both"/>
        <w:rPr>
          <w:sz w:val="24"/>
        </w:rPr>
      </w:pPr>
      <w:r>
        <w:rPr>
          <w:sz w:val="24"/>
        </w:rPr>
      </w:r>
    </w:p>
    <w:p>
      <w:pPr>
        <w:pStyle w:val="Normal"/>
        <w:numPr>
          <w:ilvl w:val="0"/>
          <w:numId w:val="7"/>
        </w:numPr>
        <w:jc w:val="both"/>
        <w:rPr>
          <w:sz w:val="24"/>
        </w:rPr>
      </w:pPr>
      <w:r>
        <w:rPr>
          <w:b/>
          <w:sz w:val="24"/>
          <w:u w:val="single"/>
        </w:rPr>
        <w:t xml:space="preserve">Force Majeure </w:t>
      </w:r>
      <w:r>
        <w:rPr>
          <w:sz w:val="24"/>
        </w:rPr>
        <w:t xml:space="preserve">– Shall have the meaning set forth in Article XII.  </w:t>
      </w:r>
    </w:p>
    <w:p>
      <w:pPr>
        <w:pStyle w:val="Normal"/>
        <w:numPr>
          <w:ilvl w:val="0"/>
          <w:numId w:val="0"/>
        </w:numPr>
        <w:ind w:hanging="576" w:start="576" w:end="0"/>
        <w:jc w:val="both"/>
        <w:rPr>
          <w:sz w:val="24"/>
        </w:rPr>
      </w:pPr>
      <w:r>
        <w:rPr>
          <w:sz w:val="24"/>
        </w:rPr>
      </w:r>
    </w:p>
    <w:p>
      <w:pPr>
        <w:pStyle w:val="Normal"/>
        <w:numPr>
          <w:ilvl w:val="0"/>
          <w:numId w:val="7"/>
        </w:numPr>
        <w:jc w:val="both"/>
        <w:rPr>
          <w:sz w:val="24"/>
        </w:rPr>
      </w:pPr>
      <w:r>
        <w:rPr>
          <w:b/>
          <w:sz w:val="24"/>
          <w:u w:val="single"/>
        </w:rPr>
        <w:t>Gas</w:t>
      </w:r>
      <w:r>
        <w:rPr>
          <w:sz w:val="24"/>
        </w:rPr>
        <w:t xml:space="preserve"> – Any mixture of hydrocarbons or of hydrocarbons and non-combustible gases, existing in a gaseous state, consisting essentially of methane.</w:t>
      </w:r>
    </w:p>
    <w:p>
      <w:pPr>
        <w:pStyle w:val="Normal"/>
        <w:jc w:val="both"/>
        <w:rPr>
          <w:sz w:val="24"/>
        </w:rPr>
      </w:pPr>
      <w:r>
        <w:rPr>
          <w:sz w:val="24"/>
        </w:rPr>
      </w:r>
    </w:p>
    <w:p>
      <w:pPr>
        <w:pStyle w:val="Normal"/>
        <w:numPr>
          <w:ilvl w:val="0"/>
          <w:numId w:val="7"/>
        </w:numPr>
        <w:jc w:val="both"/>
        <w:rPr>
          <w:b/>
          <w:sz w:val="24"/>
        </w:rPr>
      </w:pPr>
      <w:r>
        <w:rPr>
          <w:b/>
          <w:sz w:val="24"/>
          <w:u w:val="single"/>
        </w:rPr>
        <w:t>Gather or Gathering Services</w:t>
      </w:r>
      <w:r>
        <w:rPr>
          <w:sz w:val="24"/>
        </w:rPr>
        <w:t xml:space="preserve"> – The receipt of Gas by Lost Creek at the Receipt Point(s) identified on </w:t>
      </w:r>
      <w:r>
        <w:rPr>
          <w:sz w:val="24"/>
          <w:u w:val="single"/>
        </w:rPr>
        <w:t>Exhibit "A</w:t>
      </w:r>
      <w:r>
        <w:rPr>
          <w:sz w:val="24"/>
        </w:rPr>
        <w:t xml:space="preserve">" and the treating and delivery of Thermally Equivalent quantities of Gas, less Shipper's Fuel and L&amp;U by Lost Creek on behalf of Shipper, or for Shipper's account, at the Delivery Point(s). </w:t>
      </w:r>
    </w:p>
    <w:p>
      <w:pPr>
        <w:pStyle w:val="Normal"/>
        <w:jc w:val="both"/>
        <w:rPr>
          <w:b/>
          <w:sz w:val="24"/>
          <w:u w:val="single"/>
        </w:rPr>
      </w:pPr>
      <w:r>
        <w:rPr>
          <w:b/>
          <w:sz w:val="24"/>
          <w:u w:val="single"/>
        </w:rPr>
      </w:r>
    </w:p>
    <w:p>
      <w:pPr>
        <w:pStyle w:val="Normal"/>
        <w:numPr>
          <w:ilvl w:val="0"/>
          <w:numId w:val="7"/>
        </w:numPr>
        <w:jc w:val="both"/>
        <w:rPr/>
      </w:pPr>
      <w:r>
        <w:rPr>
          <w:b/>
          <w:sz w:val="24"/>
          <w:u w:val="single"/>
        </w:rPr>
        <w:t>Gross Heating Value</w:t>
      </w:r>
      <w:r>
        <w:rPr>
          <w:sz w:val="24"/>
        </w:rPr>
        <w:t xml:space="preserve"> – The quantity of heat measured in Btu's produced by the complete combustion in air at constant pressure of one (1) Cubic Foot of Gas, at a base temperature of sixty degrees Fahrenheit (60ºF) and a reference pressure base equal to Standard Pressure, the air being at the same temperature and pressure as the Gas, after the products of combustion are cooled to the initial temperature of the Gas, and after the water formed by combustion is condensed to the liquid state. </w:t>
      </w:r>
    </w:p>
    <w:p>
      <w:pPr>
        <w:pStyle w:val="Normal"/>
        <w:jc w:val="both"/>
        <w:rPr/>
      </w:pPr>
      <w:r>
        <w:rPr/>
      </w:r>
    </w:p>
    <w:p>
      <w:pPr>
        <w:pStyle w:val="Normal"/>
        <w:numPr>
          <w:ilvl w:val="0"/>
          <w:numId w:val="7"/>
        </w:numPr>
        <w:jc w:val="both"/>
        <w:rPr>
          <w:sz w:val="24"/>
        </w:rPr>
      </w:pPr>
      <w:r>
        <w:rPr>
          <w:b/>
          <w:sz w:val="24"/>
          <w:u w:val="single"/>
        </w:rPr>
        <w:t xml:space="preserve">Initial Term </w:t>
      </w:r>
      <w:r>
        <w:rPr/>
        <w:t xml:space="preserve">– </w:t>
      </w:r>
      <w:r>
        <w:rPr>
          <w:sz w:val="24"/>
        </w:rPr>
        <w:t>Shall have the meaning set forth in Section 4.1.</w:t>
      </w:r>
    </w:p>
    <w:p>
      <w:pPr>
        <w:pStyle w:val="Normal"/>
        <w:jc w:val="both"/>
        <w:rPr>
          <w:sz w:val="24"/>
        </w:rPr>
      </w:pPr>
      <w:r>
        <w:rPr>
          <w:sz w:val="24"/>
        </w:rPr>
      </w:r>
    </w:p>
    <w:p>
      <w:pPr>
        <w:pStyle w:val="Normal"/>
        <w:numPr>
          <w:ilvl w:val="0"/>
          <w:numId w:val="7"/>
        </w:numPr>
        <w:jc w:val="both"/>
        <w:rPr>
          <w:sz w:val="24"/>
        </w:rPr>
      </w:pPr>
      <w:r>
        <w:rPr>
          <w:b/>
          <w:sz w:val="24"/>
          <w:u w:val="single"/>
        </w:rPr>
        <w:t>Lost Creek In Service Date</w:t>
      </w:r>
      <w:r>
        <w:rPr>
          <w:sz w:val="24"/>
        </w:rPr>
        <w:t xml:space="preserve"> – The date that is the later of: (i) forty-five Days after notice is given by Lost Creek to Shipper of the date that the Lost Creek System will be capable of receiving, flowing, treating and redelivering Gas and the field gathering facilities necessary to deliver Shipper's Gas into the Lost Creek System will be fully operational or (ii) the date that the Lost Creek System is capable of receiving, flowing, treating and redelivering Gas and the field gathering facilities necessary to deliver Shipper's Gas into the Lost Creek System are fully operational. </w:t>
      </w:r>
    </w:p>
    <w:p>
      <w:pPr>
        <w:pStyle w:val="Normal"/>
        <w:jc w:val="both"/>
        <w:rPr>
          <w:sz w:val="24"/>
        </w:rPr>
      </w:pPr>
      <w:r>
        <w:rPr>
          <w:sz w:val="24"/>
        </w:rPr>
      </w:r>
    </w:p>
    <w:p>
      <w:pPr>
        <w:pStyle w:val="Normal"/>
        <w:numPr>
          <w:ilvl w:val="0"/>
          <w:numId w:val="7"/>
        </w:numPr>
        <w:jc w:val="both"/>
        <w:rPr>
          <w:sz w:val="24"/>
        </w:rPr>
      </w:pPr>
      <w:r>
        <w:rPr>
          <w:b/>
          <w:sz w:val="24"/>
          <w:u w:val="single"/>
        </w:rPr>
        <w:t>MAOP</w:t>
      </w:r>
      <w:r>
        <w:rPr>
          <w:sz w:val="24"/>
        </w:rPr>
        <w:t xml:space="preserve"> – Shall have the meaning set forth in Section 5.1.</w:t>
      </w:r>
    </w:p>
    <w:p>
      <w:pPr>
        <w:pStyle w:val="Normal"/>
        <w:jc w:val="both"/>
        <w:rPr>
          <w:sz w:val="24"/>
        </w:rPr>
      </w:pPr>
      <w:r>
        <w:rPr>
          <w:sz w:val="24"/>
        </w:rPr>
      </w:r>
    </w:p>
    <w:p>
      <w:pPr>
        <w:pStyle w:val="Normal"/>
        <w:numPr>
          <w:ilvl w:val="0"/>
          <w:numId w:val="7"/>
        </w:numPr>
        <w:jc w:val="both"/>
        <w:rPr>
          <w:sz w:val="24"/>
        </w:rPr>
      </w:pPr>
      <w:r>
        <w:rPr>
          <w:b/>
          <w:sz w:val="24"/>
          <w:u w:val="single"/>
        </w:rPr>
        <w:t>Mcf</w:t>
      </w:r>
      <w:r>
        <w:rPr>
          <w:sz w:val="24"/>
        </w:rPr>
        <w:t xml:space="preserve"> – One thousand (1,000) Cubic Feet of Gas at a temperature of sixty degrees Fahrenheit (60ºF) and Standard Pressure.</w:t>
      </w:r>
    </w:p>
    <w:p>
      <w:pPr>
        <w:pStyle w:val="Normal"/>
        <w:numPr>
          <w:ilvl w:val="0"/>
          <w:numId w:val="0"/>
        </w:numPr>
        <w:ind w:hanging="576" w:start="576" w:end="0"/>
        <w:jc w:val="both"/>
        <w:rPr>
          <w:sz w:val="24"/>
        </w:rPr>
      </w:pPr>
      <w:r>
        <w:rPr>
          <w:sz w:val="24"/>
        </w:rPr>
      </w:r>
    </w:p>
    <w:p>
      <w:pPr>
        <w:pStyle w:val="Normal"/>
        <w:numPr>
          <w:ilvl w:val="0"/>
          <w:numId w:val="7"/>
        </w:numPr>
        <w:jc w:val="both"/>
        <w:rPr>
          <w:sz w:val="24"/>
        </w:rPr>
      </w:pPr>
      <w:r>
        <w:rPr>
          <w:b/>
          <w:sz w:val="24"/>
          <w:u w:val="single"/>
        </w:rPr>
        <w:t>MMBtu</w:t>
      </w:r>
      <w:r>
        <w:rPr>
          <w:sz w:val="24"/>
        </w:rPr>
        <w:t xml:space="preserve"> – One million (1,000,000) British Thermal Units.</w:t>
      </w:r>
    </w:p>
    <w:p>
      <w:pPr>
        <w:pStyle w:val="Normal"/>
        <w:numPr>
          <w:ilvl w:val="0"/>
          <w:numId w:val="0"/>
        </w:numPr>
        <w:ind w:hanging="576" w:start="576" w:end="0"/>
        <w:jc w:val="both"/>
        <w:rPr>
          <w:sz w:val="24"/>
        </w:rPr>
      </w:pPr>
      <w:r>
        <w:rPr>
          <w:sz w:val="24"/>
        </w:rPr>
      </w:r>
    </w:p>
    <w:p>
      <w:pPr>
        <w:pStyle w:val="Normal"/>
        <w:numPr>
          <w:ilvl w:val="0"/>
          <w:numId w:val="7"/>
        </w:numPr>
        <w:jc w:val="both"/>
        <w:rPr>
          <w:sz w:val="24"/>
        </w:rPr>
      </w:pPr>
      <w:r>
        <w:rPr>
          <w:b/>
          <w:sz w:val="24"/>
          <w:u w:val="single"/>
        </w:rPr>
        <w:t>Month</w:t>
      </w:r>
      <w:r>
        <w:rPr>
          <w:sz w:val="24"/>
        </w:rPr>
        <w:t xml:space="preserve"> – A period commencing at 9:00 a.m. Central Clock Time on the first Day of a calendar month and ending at 9:00 a.m. Central Clock Time on the first Day of the next succeeding calendar month.</w:t>
      </w:r>
    </w:p>
    <w:p>
      <w:pPr>
        <w:pStyle w:val="Normal"/>
        <w:numPr>
          <w:ilvl w:val="0"/>
          <w:numId w:val="0"/>
        </w:numPr>
        <w:ind w:hanging="576" w:start="576" w:end="0"/>
        <w:jc w:val="both"/>
        <w:rPr>
          <w:sz w:val="24"/>
        </w:rPr>
      </w:pPr>
      <w:r>
        <w:rPr>
          <w:sz w:val="24"/>
        </w:rPr>
      </w:r>
    </w:p>
    <w:p>
      <w:pPr>
        <w:pStyle w:val="Normal"/>
        <w:numPr>
          <w:ilvl w:val="0"/>
          <w:numId w:val="7"/>
        </w:numPr>
        <w:jc w:val="both"/>
        <w:rPr>
          <w:sz w:val="24"/>
        </w:rPr>
      </w:pPr>
      <w:r>
        <w:rPr>
          <w:b/>
          <w:sz w:val="24"/>
          <w:u w:val="single"/>
        </w:rPr>
        <w:t>Normal and Routine Maintenance</w:t>
      </w:r>
      <w:r>
        <w:rPr>
          <w:sz w:val="24"/>
        </w:rPr>
        <w:t xml:space="preserve"> – Normal and routine maintenance required for prudent operations.</w:t>
      </w:r>
    </w:p>
    <w:p>
      <w:pPr>
        <w:pStyle w:val="Normal"/>
        <w:numPr>
          <w:ilvl w:val="0"/>
          <w:numId w:val="0"/>
        </w:numPr>
        <w:ind w:hanging="576" w:start="576" w:end="0"/>
        <w:jc w:val="both"/>
        <w:rPr>
          <w:sz w:val="24"/>
        </w:rPr>
      </w:pPr>
      <w:r>
        <w:rPr>
          <w:sz w:val="24"/>
        </w:rPr>
      </w:r>
    </w:p>
    <w:p>
      <w:pPr>
        <w:pStyle w:val="Normal"/>
        <w:numPr>
          <w:ilvl w:val="0"/>
          <w:numId w:val="7"/>
        </w:numPr>
        <w:jc w:val="both"/>
        <w:rPr>
          <w:sz w:val="24"/>
        </w:rPr>
      </w:pPr>
      <w:r>
        <w:rPr>
          <w:b/>
          <w:sz w:val="24"/>
          <w:u w:val="single"/>
        </w:rPr>
        <w:t>Pro rata or Pro rata Share</w:t>
      </w:r>
      <w:r>
        <w:rPr>
          <w:sz w:val="24"/>
        </w:rPr>
        <w:t xml:space="preserve"> – Proportionate part based on Receipt Point(s) volumes.</w:t>
      </w:r>
    </w:p>
    <w:p>
      <w:pPr>
        <w:pStyle w:val="Normal"/>
        <w:numPr>
          <w:ilvl w:val="0"/>
          <w:numId w:val="0"/>
        </w:numPr>
        <w:ind w:hanging="576" w:start="576" w:end="0"/>
        <w:jc w:val="both"/>
        <w:rPr>
          <w:sz w:val="24"/>
        </w:rPr>
      </w:pPr>
      <w:r>
        <w:rPr>
          <w:sz w:val="24"/>
        </w:rPr>
      </w:r>
    </w:p>
    <w:p>
      <w:pPr>
        <w:pStyle w:val="Normal"/>
        <w:numPr>
          <w:ilvl w:val="0"/>
          <w:numId w:val="7"/>
        </w:numPr>
        <w:jc w:val="both"/>
        <w:rPr>
          <w:sz w:val="24"/>
        </w:rPr>
      </w:pPr>
      <w:r>
        <w:rPr>
          <w:b/>
          <w:sz w:val="24"/>
          <w:u w:val="single"/>
        </w:rPr>
        <w:t>Psia</w:t>
      </w:r>
      <w:r>
        <w:rPr>
          <w:sz w:val="24"/>
        </w:rPr>
        <w:t xml:space="preserve"> – Pressure expressed in pounds per square inch absolute.</w:t>
      </w:r>
    </w:p>
    <w:p>
      <w:pPr>
        <w:pStyle w:val="Normal"/>
        <w:numPr>
          <w:ilvl w:val="0"/>
          <w:numId w:val="0"/>
        </w:numPr>
        <w:ind w:hanging="576" w:start="576" w:end="0"/>
        <w:jc w:val="both"/>
        <w:rPr>
          <w:sz w:val="24"/>
        </w:rPr>
      </w:pPr>
      <w:r>
        <w:rPr>
          <w:sz w:val="24"/>
        </w:rPr>
      </w:r>
    </w:p>
    <w:p>
      <w:pPr>
        <w:pStyle w:val="Normal"/>
        <w:numPr>
          <w:ilvl w:val="0"/>
          <w:numId w:val="7"/>
        </w:numPr>
        <w:jc w:val="both"/>
        <w:rPr>
          <w:sz w:val="24"/>
        </w:rPr>
      </w:pPr>
      <w:r>
        <w:rPr>
          <w:b/>
          <w:sz w:val="24"/>
          <w:u w:val="single"/>
        </w:rPr>
        <w:t>Psig</w:t>
      </w:r>
      <w:r>
        <w:rPr>
          <w:sz w:val="24"/>
        </w:rPr>
        <w:t xml:space="preserve"> – Pressure expressed in pounds per square inch gauge.</w:t>
      </w:r>
    </w:p>
    <w:p>
      <w:pPr>
        <w:pStyle w:val="Normal"/>
        <w:numPr>
          <w:ilvl w:val="0"/>
          <w:numId w:val="0"/>
        </w:numPr>
        <w:ind w:hanging="576" w:start="576" w:end="0"/>
        <w:jc w:val="both"/>
        <w:rPr>
          <w:sz w:val="24"/>
        </w:rPr>
      </w:pPr>
      <w:r>
        <w:rPr>
          <w:sz w:val="24"/>
        </w:rPr>
      </w:r>
    </w:p>
    <w:p>
      <w:pPr>
        <w:pStyle w:val="Normal"/>
        <w:numPr>
          <w:ilvl w:val="0"/>
          <w:numId w:val="7"/>
        </w:numPr>
        <w:jc w:val="both"/>
        <w:rPr>
          <w:sz w:val="24"/>
        </w:rPr>
      </w:pPr>
      <w:r>
        <w:rPr>
          <w:b/>
          <w:sz w:val="24"/>
          <w:u w:val="single"/>
        </w:rPr>
        <w:t>Receipt Point(s)</w:t>
      </w:r>
      <w:r>
        <w:rPr>
          <w:sz w:val="24"/>
        </w:rPr>
        <w:t xml:space="preserve"> – Those locations listed on </w:t>
      </w:r>
      <w:r>
        <w:rPr>
          <w:sz w:val="24"/>
          <w:u w:val="single"/>
        </w:rPr>
        <w:t>Exhibit "A</w:t>
      </w:r>
      <w:r>
        <w:rPr>
          <w:sz w:val="24"/>
        </w:rPr>
        <w:t xml:space="preserve">" of this Agreement at which Lost Creek will receive Shipper's Gas for Gathering, which locations may be supplemented from time to time by mutual agreement of the parties and amendment of </w:t>
      </w:r>
      <w:r>
        <w:rPr>
          <w:sz w:val="24"/>
          <w:u w:val="single"/>
        </w:rPr>
        <w:t>Exhibit "A</w:t>
      </w:r>
      <w:r>
        <w:rPr>
          <w:sz w:val="24"/>
        </w:rPr>
        <w:t>".</w:t>
      </w:r>
    </w:p>
    <w:p>
      <w:pPr>
        <w:pStyle w:val="Normal"/>
        <w:jc w:val="both"/>
        <w:rPr>
          <w:sz w:val="24"/>
        </w:rPr>
      </w:pPr>
      <w:r>
        <w:rPr>
          <w:sz w:val="24"/>
        </w:rPr>
      </w:r>
    </w:p>
    <w:p>
      <w:pPr>
        <w:pStyle w:val="Normal"/>
        <w:numPr>
          <w:ilvl w:val="0"/>
          <w:numId w:val="7"/>
        </w:numPr>
        <w:jc w:val="both"/>
        <w:rPr>
          <w:sz w:val="24"/>
        </w:rPr>
      </w:pPr>
      <w:r>
        <w:rPr>
          <w:b/>
          <w:sz w:val="24"/>
          <w:u w:val="single"/>
        </w:rPr>
        <w:t>Reserve Commitment Area</w:t>
      </w:r>
      <w:r>
        <w:rPr>
          <w:sz w:val="24"/>
        </w:rPr>
        <w:t xml:space="preserve"> – Shall have the meaning set forth in Section 2.1.</w:t>
      </w:r>
    </w:p>
    <w:p>
      <w:pPr>
        <w:pStyle w:val="Normal"/>
        <w:jc w:val="both"/>
        <w:rPr>
          <w:sz w:val="24"/>
        </w:rPr>
      </w:pPr>
      <w:r>
        <w:rPr>
          <w:sz w:val="24"/>
        </w:rPr>
      </w:r>
    </w:p>
    <w:p>
      <w:pPr>
        <w:pStyle w:val="Normal"/>
        <w:numPr>
          <w:ilvl w:val="0"/>
          <w:numId w:val="7"/>
        </w:numPr>
        <w:jc w:val="both"/>
        <w:rPr>
          <w:sz w:val="24"/>
        </w:rPr>
      </w:pPr>
      <w:r>
        <w:rPr>
          <w:b/>
          <w:sz w:val="24"/>
          <w:u w:val="single"/>
        </w:rPr>
        <w:t>Scheduled Nomination</w:t>
      </w:r>
      <w:r>
        <w:rPr>
          <w:sz w:val="24"/>
        </w:rPr>
        <w:t xml:space="preserve"> – Shall have the meaning set forth in Section 7.1.</w:t>
      </w:r>
    </w:p>
    <w:p>
      <w:pPr>
        <w:pStyle w:val="Normal"/>
        <w:numPr>
          <w:ilvl w:val="0"/>
          <w:numId w:val="0"/>
        </w:numPr>
        <w:ind w:hanging="576" w:start="576" w:end="0"/>
        <w:jc w:val="both"/>
        <w:rPr>
          <w:sz w:val="24"/>
        </w:rPr>
      </w:pPr>
      <w:r>
        <w:rPr>
          <w:sz w:val="24"/>
        </w:rPr>
      </w:r>
    </w:p>
    <w:p>
      <w:pPr>
        <w:pStyle w:val="Normal"/>
        <w:numPr>
          <w:ilvl w:val="0"/>
          <w:numId w:val="7"/>
        </w:numPr>
        <w:jc w:val="both"/>
        <w:rPr>
          <w:sz w:val="24"/>
        </w:rPr>
      </w:pPr>
      <w:r>
        <w:rPr>
          <w:b/>
          <w:sz w:val="24"/>
          <w:u w:val="single"/>
        </w:rPr>
        <w:t>Shipper's Fuel and L&amp;U</w:t>
      </w:r>
      <w:r>
        <w:rPr>
          <w:sz w:val="24"/>
        </w:rPr>
        <w:t xml:space="preserve"> – Shipper's fuel and lost and unaccounted for Gas shall be deemed to be one percent (1%) of Shippers Gas Tendered for Gathering at the Receipt Point(s), irrespective of the actual Lost Creek System fuel requirements and lost and unaccounted for Gas.</w:t>
      </w:r>
    </w:p>
    <w:p>
      <w:pPr>
        <w:pStyle w:val="Normal"/>
        <w:numPr>
          <w:ilvl w:val="0"/>
          <w:numId w:val="0"/>
        </w:numPr>
        <w:ind w:hanging="0" w:start="0"/>
        <w:jc w:val="both"/>
        <w:rPr>
          <w:sz w:val="24"/>
        </w:rPr>
      </w:pPr>
      <w:r>
        <w:rPr>
          <w:sz w:val="24"/>
        </w:rPr>
      </w:r>
    </w:p>
    <w:p>
      <w:pPr>
        <w:pStyle w:val="Normal"/>
        <w:numPr>
          <w:ilvl w:val="0"/>
          <w:numId w:val="7"/>
        </w:numPr>
        <w:jc w:val="both"/>
        <w:rPr>
          <w:sz w:val="24"/>
        </w:rPr>
      </w:pPr>
      <w:r>
        <w:rPr>
          <w:b/>
          <w:sz w:val="24"/>
          <w:u w:val="single"/>
        </w:rPr>
        <w:t>Shipper's Gas</w:t>
      </w:r>
      <w:r>
        <w:rPr>
          <w:sz w:val="24"/>
        </w:rPr>
        <w:t xml:space="preserve"> – Any Gas production attributable to Shipper's interest in the Reserve Commitment Area less and except Shipper's Reservations. </w:t>
      </w:r>
    </w:p>
    <w:p>
      <w:pPr>
        <w:pStyle w:val="Normal"/>
        <w:jc w:val="both"/>
        <w:rPr>
          <w:b/>
          <w:sz w:val="24"/>
          <w:u w:val="single"/>
        </w:rPr>
      </w:pPr>
      <w:r>
        <w:rPr>
          <w:b/>
          <w:sz w:val="24"/>
          <w:u w:val="single"/>
        </w:rPr>
      </w:r>
    </w:p>
    <w:p>
      <w:pPr>
        <w:pStyle w:val="Normal"/>
        <w:numPr>
          <w:ilvl w:val="0"/>
          <w:numId w:val="7"/>
        </w:numPr>
        <w:jc w:val="both"/>
        <w:rPr>
          <w:sz w:val="24"/>
        </w:rPr>
      </w:pPr>
      <w:r>
        <w:rPr>
          <w:b/>
          <w:sz w:val="24"/>
          <w:u w:val="single"/>
        </w:rPr>
        <w:t>Shipper's Nomination</w:t>
      </w:r>
      <w:r>
        <w:rPr>
          <w:sz w:val="24"/>
        </w:rPr>
        <w:t xml:space="preserve"> – Shall have the meaning set forth in Section 7.1.</w:t>
      </w:r>
    </w:p>
    <w:p>
      <w:pPr>
        <w:pStyle w:val="Normal"/>
        <w:jc w:val="both"/>
        <w:rPr>
          <w:sz w:val="24"/>
        </w:rPr>
      </w:pPr>
      <w:r>
        <w:rPr>
          <w:sz w:val="24"/>
        </w:rPr>
      </w:r>
    </w:p>
    <w:p>
      <w:pPr>
        <w:pStyle w:val="Normal"/>
        <w:numPr>
          <w:ilvl w:val="0"/>
          <w:numId w:val="7"/>
        </w:numPr>
        <w:jc w:val="both"/>
        <w:rPr>
          <w:sz w:val="24"/>
        </w:rPr>
      </w:pPr>
      <w:r>
        <w:rPr>
          <w:b/>
          <w:sz w:val="24"/>
          <w:u w:val="single"/>
        </w:rPr>
        <w:t xml:space="preserve">Shipper's Reservations </w:t>
      </w:r>
      <w:r>
        <w:rPr>
          <w:sz w:val="24"/>
        </w:rPr>
        <w:t>– Shall have the meaning set forth in Section 2.1.</w:t>
      </w:r>
    </w:p>
    <w:p>
      <w:pPr>
        <w:pStyle w:val="Normal"/>
        <w:numPr>
          <w:ilvl w:val="0"/>
          <w:numId w:val="0"/>
        </w:numPr>
        <w:ind w:hanging="576" w:start="576" w:end="0"/>
        <w:jc w:val="both"/>
        <w:rPr>
          <w:b/>
          <w:sz w:val="24"/>
        </w:rPr>
      </w:pPr>
      <w:r>
        <w:rPr>
          <w:b/>
          <w:sz w:val="24"/>
        </w:rPr>
      </w:r>
    </w:p>
    <w:p>
      <w:pPr>
        <w:pStyle w:val="Normal"/>
        <w:numPr>
          <w:ilvl w:val="0"/>
          <w:numId w:val="7"/>
        </w:numPr>
        <w:jc w:val="both"/>
        <w:rPr>
          <w:sz w:val="24"/>
        </w:rPr>
      </w:pPr>
      <w:r>
        <w:rPr>
          <w:b/>
          <w:sz w:val="24"/>
          <w:u w:val="single"/>
        </w:rPr>
        <w:t>Standard Pressure</w:t>
      </w:r>
      <w:r>
        <w:rPr>
          <w:sz w:val="24"/>
        </w:rPr>
        <w:t xml:space="preserve"> – Fourteen and seventy-three hundredths pounds per square inch absolute (14.73 psia).</w:t>
      </w:r>
    </w:p>
    <w:p>
      <w:pPr>
        <w:pStyle w:val="Normal"/>
        <w:jc w:val="both"/>
        <w:rPr>
          <w:sz w:val="24"/>
        </w:rPr>
      </w:pPr>
      <w:r>
        <w:rPr>
          <w:sz w:val="24"/>
        </w:rPr>
      </w:r>
    </w:p>
    <w:p>
      <w:pPr>
        <w:pStyle w:val="Normal"/>
        <w:numPr>
          <w:ilvl w:val="0"/>
          <w:numId w:val="7"/>
        </w:numPr>
        <w:jc w:val="both"/>
        <w:rPr>
          <w:sz w:val="24"/>
        </w:rPr>
      </w:pPr>
      <w:r>
        <w:rPr>
          <w:b/>
          <w:sz w:val="24"/>
          <w:u w:val="single"/>
        </w:rPr>
        <w:t>Subject Leases</w:t>
      </w:r>
      <w:r>
        <w:rPr>
          <w:sz w:val="24"/>
        </w:rPr>
        <w:t xml:space="preserve"> – Shall have the meaning set forth in Section 2.1.</w:t>
      </w:r>
    </w:p>
    <w:p>
      <w:pPr>
        <w:pStyle w:val="Normal"/>
        <w:numPr>
          <w:ilvl w:val="0"/>
          <w:numId w:val="0"/>
        </w:numPr>
        <w:ind w:hanging="576" w:start="576" w:end="0"/>
        <w:jc w:val="both"/>
        <w:rPr>
          <w:b/>
          <w:sz w:val="24"/>
        </w:rPr>
      </w:pPr>
      <w:r>
        <w:rPr>
          <w:b/>
          <w:sz w:val="24"/>
        </w:rPr>
      </w:r>
    </w:p>
    <w:p>
      <w:pPr>
        <w:pStyle w:val="Normal"/>
        <w:numPr>
          <w:ilvl w:val="0"/>
          <w:numId w:val="7"/>
        </w:numPr>
        <w:jc w:val="both"/>
        <w:rPr>
          <w:sz w:val="24"/>
        </w:rPr>
      </w:pPr>
      <w:r>
        <w:rPr>
          <w:b/>
          <w:sz w:val="24"/>
          <w:u w:val="single"/>
        </w:rPr>
        <w:t>System or Lost Creek's System</w:t>
      </w:r>
      <w:r>
        <w:rPr>
          <w:sz w:val="24"/>
        </w:rPr>
        <w:t xml:space="preserve"> – The Lost Creek Gas gathering system which includes, but is not limited to, those facilities owned, installed or operated by Lost Creek necessary to provide the Gathering Services contemplated by this Agreement.</w:t>
      </w:r>
    </w:p>
    <w:p>
      <w:pPr>
        <w:pStyle w:val="Normal"/>
        <w:numPr>
          <w:ilvl w:val="0"/>
          <w:numId w:val="0"/>
        </w:numPr>
        <w:ind w:hanging="576" w:start="576" w:end="0"/>
        <w:jc w:val="both"/>
        <w:rPr>
          <w:sz w:val="24"/>
        </w:rPr>
      </w:pPr>
      <w:r>
        <w:rPr>
          <w:sz w:val="24"/>
        </w:rPr>
      </w:r>
    </w:p>
    <w:p>
      <w:pPr>
        <w:pStyle w:val="Normal"/>
        <w:numPr>
          <w:ilvl w:val="0"/>
          <w:numId w:val="7"/>
        </w:numPr>
        <w:jc w:val="both"/>
        <w:rPr>
          <w:sz w:val="24"/>
        </w:rPr>
      </w:pPr>
      <w:r>
        <w:rPr>
          <w:b/>
          <w:sz w:val="24"/>
          <w:u w:val="single"/>
        </w:rPr>
        <w:t>Tender or Tendering</w:t>
      </w:r>
      <w:r>
        <w:rPr>
          <w:b/>
          <w:sz w:val="24"/>
        </w:rPr>
        <w:t xml:space="preserve"> </w:t>
      </w:r>
      <w:r>
        <w:rPr>
          <w:sz w:val="24"/>
        </w:rPr>
        <w:t>– That volume of Shipper's Gas that is nominated and capable of being produced and delivered by Shipper and confirmed by Shipper for receipt at Receipt Point(s) and redelivery at Delivery Point(s).</w:t>
      </w:r>
    </w:p>
    <w:p>
      <w:pPr>
        <w:pStyle w:val="Normal"/>
        <w:numPr>
          <w:ilvl w:val="0"/>
          <w:numId w:val="0"/>
        </w:numPr>
        <w:ind w:hanging="576" w:start="576" w:end="0"/>
        <w:jc w:val="both"/>
        <w:rPr>
          <w:sz w:val="24"/>
        </w:rPr>
      </w:pPr>
      <w:r>
        <w:rPr>
          <w:sz w:val="24"/>
        </w:rPr>
      </w:r>
    </w:p>
    <w:p>
      <w:pPr>
        <w:pStyle w:val="Normal"/>
        <w:numPr>
          <w:ilvl w:val="0"/>
          <w:numId w:val="7"/>
        </w:numPr>
        <w:jc w:val="both"/>
        <w:rPr>
          <w:sz w:val="24"/>
        </w:rPr>
      </w:pPr>
      <w:r>
        <w:rPr>
          <w:b/>
          <w:sz w:val="24"/>
          <w:u w:val="single"/>
        </w:rPr>
        <w:t>Thermally Equivalent</w:t>
      </w:r>
      <w:r>
        <w:rPr>
          <w:sz w:val="24"/>
        </w:rPr>
        <w:t xml:space="preserve"> – An equal number of MMBtus.</w:t>
      </w:r>
    </w:p>
    <w:p>
      <w:pPr>
        <w:pStyle w:val="Normal"/>
        <w:numPr>
          <w:ilvl w:val="0"/>
          <w:numId w:val="0"/>
        </w:numPr>
        <w:ind w:hanging="576" w:start="576" w:end="0"/>
        <w:jc w:val="both"/>
        <w:rPr>
          <w:sz w:val="24"/>
        </w:rPr>
      </w:pPr>
      <w:r>
        <w:rPr>
          <w:sz w:val="24"/>
        </w:rPr>
      </w:r>
    </w:p>
    <w:p>
      <w:pPr>
        <w:pStyle w:val="Normal"/>
        <w:numPr>
          <w:ilvl w:val="0"/>
          <w:numId w:val="7"/>
        </w:numPr>
        <w:jc w:val="both"/>
        <w:rPr>
          <w:sz w:val="24"/>
        </w:rPr>
      </w:pPr>
      <w:r>
        <w:rPr>
          <w:b/>
          <w:sz w:val="24"/>
          <w:u w:val="single"/>
        </w:rPr>
        <w:t>Toxic Contaminants</w:t>
      </w:r>
      <w:r>
        <w:rPr>
          <w:sz w:val="24"/>
        </w:rPr>
        <w:t xml:space="preserve"> – Those contaminants defined in Committee Print 99-169 of the Senate Committee on Environmental Public Works published by the Environmental Protection Agency on February 4, 1987, as revised or supplemented from time to time.</w:t>
      </w:r>
    </w:p>
    <w:p>
      <w:pPr>
        <w:pStyle w:val="Normal"/>
        <w:jc w:val="both"/>
        <w:rPr>
          <w:sz w:val="24"/>
        </w:rPr>
      </w:pPr>
      <w:r>
        <w:rPr>
          <w:sz w:val="24"/>
        </w:rPr>
      </w:r>
    </w:p>
    <w:p>
      <w:pPr>
        <w:pStyle w:val="Normal"/>
        <w:numPr>
          <w:ilvl w:val="0"/>
          <w:numId w:val="7"/>
        </w:numPr>
        <w:jc w:val="both"/>
        <w:rPr>
          <w:sz w:val="24"/>
        </w:rPr>
      </w:pPr>
      <w:r>
        <w:rPr>
          <w:b/>
          <w:sz w:val="24"/>
          <w:u w:val="single"/>
        </w:rPr>
        <w:t>Variable Quantity</w:t>
      </w:r>
      <w:r>
        <w:rPr>
          <w:sz w:val="24"/>
        </w:rPr>
        <w:t xml:space="preserve"> – Shall mean the amount, if any, by which the total quantity of gas Tendered by Shipper on a given Day exceeds the Fixed Quantity.</w:t>
      </w:r>
    </w:p>
    <w:p>
      <w:pPr>
        <w:pStyle w:val="Normal"/>
        <w:jc w:val="both"/>
        <w:rPr>
          <w:b/>
          <w:sz w:val="24"/>
          <w:u w:val="single"/>
        </w:rPr>
      </w:pPr>
      <w:r>
        <w:rPr>
          <w:b/>
          <w:sz w:val="24"/>
          <w:u w:val="single"/>
        </w:rPr>
      </w:r>
    </w:p>
    <w:p>
      <w:pPr>
        <w:pStyle w:val="Normal"/>
        <w:numPr>
          <w:ilvl w:val="0"/>
          <w:numId w:val="7"/>
        </w:numPr>
        <w:jc w:val="both"/>
        <w:rPr>
          <w:sz w:val="24"/>
        </w:rPr>
      </w:pPr>
      <w:r>
        <w:rPr>
          <w:b/>
          <w:sz w:val="24"/>
          <w:u w:val="single"/>
        </w:rPr>
        <w:t>Variable Services Fee</w:t>
      </w:r>
      <w:r>
        <w:rPr>
          <w:sz w:val="24"/>
        </w:rPr>
        <w:t xml:space="preserve"> – Shall have the meaning set forth in Section 3.3 below.</w:t>
      </w:r>
    </w:p>
    <w:p>
      <w:pPr>
        <w:pStyle w:val="Normal"/>
        <w:jc w:val="both"/>
        <w:rPr>
          <w:sz w:val="24"/>
        </w:rPr>
      </w:pPr>
      <w:r>
        <w:rPr>
          <w:sz w:val="24"/>
        </w:rPr>
      </w:r>
    </w:p>
    <w:p>
      <w:pPr>
        <w:pStyle w:val="Normal"/>
        <w:jc w:val="center"/>
        <w:rPr>
          <w:b/>
          <w:sz w:val="24"/>
        </w:rPr>
      </w:pPr>
      <w:r>
        <w:rPr>
          <w:b/>
          <w:sz w:val="24"/>
        </w:rPr>
        <w:t>ARTICLE II</w:t>
      </w:r>
    </w:p>
    <w:p>
      <w:pPr>
        <w:pStyle w:val="Normal"/>
        <w:jc w:val="center"/>
        <w:rPr>
          <w:b/>
          <w:sz w:val="24"/>
          <w:u w:val="single"/>
        </w:rPr>
      </w:pPr>
      <w:r>
        <w:rPr>
          <w:b/>
          <w:sz w:val="24"/>
          <w:u w:val="single"/>
        </w:rPr>
        <w:t>GAS TO BE GATHERED</w:t>
      </w:r>
    </w:p>
    <w:p>
      <w:pPr>
        <w:pStyle w:val="Normal"/>
        <w:jc w:val="both"/>
        <w:rPr>
          <w:b/>
          <w:sz w:val="24"/>
          <w:u w:val="single"/>
        </w:rPr>
      </w:pPr>
      <w:r>
        <w:rPr>
          <w:b/>
          <w:sz w:val="24"/>
          <w:u w:val="single"/>
        </w:rPr>
      </w:r>
    </w:p>
    <w:p>
      <w:pPr>
        <w:pStyle w:val="Normal"/>
        <w:numPr>
          <w:ilvl w:val="1"/>
          <w:numId w:val="16"/>
        </w:numPr>
        <w:jc w:val="both"/>
        <w:rPr>
          <w:sz w:val="24"/>
        </w:rPr>
      </w:pPr>
      <w:r>
        <w:rPr>
          <w:b/>
          <w:sz w:val="24"/>
          <w:u w:val="single"/>
        </w:rPr>
        <w:t>Reserves Dedication and Shipper's Reservations.</w:t>
      </w:r>
      <w:r>
        <w:rPr>
          <w:sz w:val="24"/>
        </w:rPr>
        <w:t xml:space="preserve">  Shipper hereby exclusively commits and dedicates to Lost Creek for Gathering hereunder all gas produced from interests owned or controlled by Shipper in the area set forth in Part I of </w:t>
      </w:r>
      <w:r>
        <w:rPr>
          <w:sz w:val="24"/>
          <w:u w:val="single"/>
        </w:rPr>
        <w:t>Exhibit "C"</w:t>
      </w:r>
      <w:r>
        <w:rPr>
          <w:sz w:val="24"/>
        </w:rPr>
        <w:t xml:space="preserve"> (the "</w:t>
      </w:r>
      <w:r>
        <w:rPr>
          <w:sz w:val="24"/>
          <w:u w:val="single"/>
        </w:rPr>
        <w:t>Reserve Commitment Area</w:t>
      </w:r>
      <w:r>
        <w:rPr>
          <w:sz w:val="24"/>
        </w:rPr>
        <w:t xml:space="preserve">") and in and to the wells, lands and leases as specified  on Part II of such </w:t>
      </w:r>
      <w:r>
        <w:rPr>
          <w:sz w:val="24"/>
          <w:u w:val="single"/>
        </w:rPr>
        <w:t>Exhibit "C</w:t>
      </w:r>
      <w:r>
        <w:rPr>
          <w:sz w:val="24"/>
        </w:rPr>
        <w:t>" (the "</w:t>
      </w:r>
      <w:r>
        <w:rPr>
          <w:sz w:val="24"/>
          <w:u w:val="single"/>
        </w:rPr>
        <w:t>Subject Leases</w:t>
      </w:r>
      <w:r>
        <w:rPr>
          <w:sz w:val="24"/>
        </w:rPr>
        <w:t xml:space="preserve">") (which if not stated in </w:t>
      </w:r>
      <w:r>
        <w:rPr>
          <w:sz w:val="24"/>
          <w:u w:val="single"/>
        </w:rPr>
        <w:t>Exhibit "C"</w:t>
      </w:r>
      <w:r>
        <w:rPr>
          <w:sz w:val="24"/>
        </w:rPr>
        <w:t xml:space="preserve"> shall be deemed a one hundred percent (100%) of Shipper's working interest), and any and all additional right, title, interest or claim of every kind and character of Shipper in the Subject Leases, the area shown on </w:t>
      </w:r>
      <w:r>
        <w:rPr>
          <w:sz w:val="24"/>
          <w:u w:val="single"/>
        </w:rPr>
        <w:t>Exhibit “C”</w:t>
      </w:r>
      <w:r>
        <w:rPr>
          <w:sz w:val="24"/>
        </w:rPr>
        <w:t xml:space="preserve">, together with any pool, communitized area or unit, and all interests in any wells, whether now existing or drilled hereafter, on or completed within any such Subject Lease, or within any such pool, communitized area or unit, including those described in  </w:t>
      </w:r>
      <w:r>
        <w:rPr>
          <w:sz w:val="24"/>
          <w:u w:val="single"/>
        </w:rPr>
        <w:t>Exhibit "C,"</w:t>
      </w:r>
      <w:r>
        <w:rPr>
          <w:sz w:val="24"/>
        </w:rPr>
        <w:t xml:space="preserve"> even though Shipper's Interest may be incorrectly or incompletely stated, all as the same shall be enlarged by the discharge of any burdens or by the removal of any charges or encumbrances to which any of same may be subject as of the Effective Date, and any and all replacements, renewals and extensions or amendments of any of the same (collectively, the "Committed Reserves"). Shipper hereby warrants that it has the right to make such dedication.  If Shipper acquires any additional interest within the Reserve Commitment Area, all Gas production from such additional interest will likewise be dedicated to this Agreement, provided, however, if Gas from such additionally acquired interest is dedicated to gathering by others by agreement on or prior to the date of acquisition by Shipper, then such Gas shall become dedicated hereunder upon the end of any primary term under prior agreement, or upon such earlier date as Shipper may have any right or option to terminate such prior agreement.</w:t>
      </w:r>
      <w:r>
        <w:rPr>
          <w:rFonts w:cs="Arial Narrow" w:ascii="Arial Narrow" w:hAnsi="Arial Narrow"/>
          <w:sz w:val="18"/>
        </w:rPr>
        <w:t xml:space="preserve"> </w:t>
      </w:r>
      <w:r>
        <w:rPr>
          <w:sz w:val="24"/>
        </w:rPr>
        <w:t>Shipper reserves the following rights and reasonable quantities of Gas to satisfy same ("</w:t>
      </w:r>
      <w:r>
        <w:rPr>
          <w:sz w:val="24"/>
          <w:u w:val="single"/>
        </w:rPr>
        <w:t>Shipper's Reservations</w:t>
      </w:r>
      <w:r>
        <w:rPr>
          <w:sz w:val="24"/>
        </w:rPr>
        <w:t>"):  (i) to operate the Reserve Commitment Area as a reasonably prudent operator; provided, in the event Shipper should commence Gas flow from a new well, or the repair, reworking, or plugging of any well, notice of same shall be given to Lost Creek no later than five Business Days prior thereto, (ii) to separate or process the Gas using only mechanical, ambient temperature equipment located at surface production facilities on the Subject Leases, (iii) to use Gas produced from the Subject Leases for operating the Subject Leases, and (iv) to pool, communitize or unitize the Subject Leases, in which event this Agreement shall cover Shipper's interest therein.</w:t>
      </w:r>
    </w:p>
    <w:p>
      <w:pPr>
        <w:pStyle w:val="Normal"/>
        <w:jc w:val="both"/>
        <w:rPr>
          <w:sz w:val="24"/>
        </w:rPr>
      </w:pPr>
      <w:r>
        <w:rPr>
          <w:sz w:val="24"/>
        </w:rPr>
      </w:r>
    </w:p>
    <w:p>
      <w:pPr>
        <w:pStyle w:val="Normal"/>
        <w:numPr>
          <w:ilvl w:val="1"/>
          <w:numId w:val="16"/>
        </w:numPr>
        <w:jc w:val="both"/>
        <w:rPr>
          <w:sz w:val="24"/>
        </w:rPr>
      </w:pPr>
      <w:r>
        <w:rPr>
          <w:b/>
          <w:sz w:val="24"/>
          <w:u w:val="single"/>
        </w:rPr>
        <w:t>Receipt and Delivery Obligations.</w:t>
      </w:r>
      <w:r>
        <w:rPr>
          <w:b/>
          <w:sz w:val="24"/>
        </w:rPr>
        <w:t xml:space="preserve">  </w:t>
      </w:r>
      <w:r>
        <w:rPr>
          <w:sz w:val="24"/>
        </w:rPr>
        <w:t xml:space="preserve">Subject to the terms and provisions of this Agreement, Shipper agrees to deliver all of Shipper's Gas exclusively at the Receipt Point(s) and receive the Thermally Equivalent quantity thereof, less Shipper's Fuel and L&amp;U, at the Delivery Point(s) and Lost Creek agrees to accept all of Shipper's Gas at such Receipt Point(s), and to Gather and deliver the Thermally Equivalent quantity thereof, less Shipper's Fuel and L&amp;U, at the Delivery Point(s), provided, however, that (a) Lost Creek shall be obligated to accept or Gather only Gas produced by or for Shipper from the Reserve Commitment Area and at the Receipt Point(s) set forth on </w:t>
      </w:r>
      <w:r>
        <w:rPr>
          <w:sz w:val="24"/>
          <w:u w:val="single"/>
        </w:rPr>
        <w:t>Exhibit "A</w:t>
      </w:r>
      <w:r>
        <w:rPr>
          <w:sz w:val="24"/>
        </w:rPr>
        <w:t>" and (b) in no event shall Lost Creek be obligated to accept, Gather or deliver hereunder Gas on any Day in excess of Shipper's Scheduled Nomination.</w:t>
      </w:r>
    </w:p>
    <w:p>
      <w:pPr>
        <w:pStyle w:val="Normal"/>
        <w:jc w:val="both"/>
        <w:rPr>
          <w:sz w:val="24"/>
        </w:rPr>
      </w:pPr>
      <w:r>
        <w:rPr>
          <w:sz w:val="24"/>
        </w:rPr>
      </w:r>
    </w:p>
    <w:p>
      <w:pPr>
        <w:pStyle w:val="Normal"/>
        <w:jc w:val="center"/>
        <w:rPr>
          <w:b/>
          <w:sz w:val="24"/>
        </w:rPr>
      </w:pPr>
      <w:r>
        <w:rPr>
          <w:b/>
          <w:sz w:val="24"/>
        </w:rPr>
        <w:t>ARTICLE III</w:t>
      </w:r>
    </w:p>
    <w:p>
      <w:pPr>
        <w:pStyle w:val="Normal"/>
        <w:jc w:val="center"/>
        <w:rPr>
          <w:sz w:val="24"/>
        </w:rPr>
      </w:pPr>
      <w:r>
        <w:rPr>
          <w:b/>
          <w:sz w:val="24"/>
          <w:u w:val="single"/>
        </w:rPr>
        <w:t>RATES AND STATEMENTS</w:t>
      </w:r>
    </w:p>
    <w:p>
      <w:pPr>
        <w:pStyle w:val="Normal"/>
        <w:jc w:val="both"/>
        <w:rPr>
          <w:sz w:val="24"/>
        </w:rPr>
      </w:pPr>
      <w:r>
        <w:rPr>
          <w:sz w:val="24"/>
        </w:rPr>
      </w:r>
    </w:p>
    <w:p>
      <w:pPr>
        <w:pStyle w:val="Normal"/>
        <w:numPr>
          <w:ilvl w:val="0"/>
          <w:numId w:val="18"/>
        </w:numPr>
        <w:jc w:val="both"/>
        <w:rPr>
          <w:sz w:val="24"/>
        </w:rPr>
      </w:pPr>
      <w:r>
        <w:rPr>
          <w:b/>
          <w:sz w:val="24"/>
          <w:u w:val="single"/>
        </w:rPr>
        <w:t>Fees In General</w:t>
      </w:r>
      <w:r>
        <w:rPr>
          <w:b/>
          <w:sz w:val="24"/>
        </w:rPr>
        <w:t>.</w:t>
      </w:r>
      <w:r>
        <w:rPr>
          <w:sz w:val="24"/>
        </w:rPr>
        <w:t xml:space="preserve">  In consideration of the provision of the Gathering Services by Lost Creek for the benefit of and on behalf of Shipper, Shipper shall pay Lost Creek the Fixed Gathering Fee and the Variable Services Fee in the manner set forth in this Article III.  The Fixed Gathering Fee shall equal the amount set forth in Section 3.2 below and the Variable Services Fee shall equal the amount and be computed in the manner set forth in Section 3.3, with each such amount being payable in accordance with the requirements of Article IV of the Appendix.</w:t>
      </w:r>
    </w:p>
    <w:p>
      <w:pPr>
        <w:pStyle w:val="BodyTextIndent2"/>
        <w:widowControl/>
        <w:rPr>
          <w:sz w:val="24"/>
        </w:rPr>
      </w:pPr>
      <w:r>
        <w:rPr>
          <w:sz w:val="24"/>
        </w:rPr>
      </w:r>
    </w:p>
    <w:p>
      <w:pPr>
        <w:pStyle w:val="Normal"/>
        <w:numPr>
          <w:ilvl w:val="0"/>
          <w:numId w:val="18"/>
        </w:numPr>
        <w:jc w:val="both"/>
        <w:rPr>
          <w:sz w:val="24"/>
        </w:rPr>
      </w:pPr>
      <w:r>
        <w:rPr>
          <w:b/>
          <w:sz w:val="24"/>
          <w:u w:val="single"/>
        </w:rPr>
        <w:t>Fixed Gathering Fee</w:t>
      </w:r>
      <w:r>
        <w:rPr>
          <w:sz w:val="24"/>
        </w:rPr>
        <w:t>.  Commencing on the Lost Creek In-Service Date and continuing through the Initial Term, Shipper shall pay Lost Creek a fee of $0.14 per MMBtu per Day of the Fixed Quantity multiplied by the number of Days in the Month, as a demand fee for Gathering Services for the Fixed Quantity as measured at the Receipt Point (the “</w:t>
      </w:r>
      <w:r>
        <w:rPr>
          <w:sz w:val="24"/>
          <w:u w:val="single"/>
        </w:rPr>
        <w:t>Fixed Gathering Fee</w:t>
      </w:r>
      <w:r>
        <w:rPr>
          <w:sz w:val="24"/>
        </w:rPr>
        <w:t xml:space="preserve">”).  The Fixed Gathering Fee shall be due and payable by Shipper whether or not Shipper utilizes all or any portion of the Gathering Services. </w:t>
      </w:r>
    </w:p>
    <w:p>
      <w:pPr>
        <w:pStyle w:val="Normal"/>
        <w:tabs>
          <w:tab w:val="clear" w:pos="720"/>
          <w:tab w:val="left" w:pos="360" w:leader="none"/>
        </w:tabs>
        <w:ind w:firstLine="720" w:end="0"/>
        <w:jc w:val="both"/>
        <w:rPr>
          <w:sz w:val="24"/>
        </w:rPr>
      </w:pPr>
      <w:r>
        <w:rPr>
          <w:sz w:val="24"/>
        </w:rPr>
      </w:r>
    </w:p>
    <w:p>
      <w:pPr>
        <w:pStyle w:val="Normal"/>
        <w:numPr>
          <w:ilvl w:val="0"/>
          <w:numId w:val="18"/>
        </w:numPr>
        <w:jc w:val="both"/>
        <w:rPr>
          <w:sz w:val="24"/>
        </w:rPr>
      </w:pPr>
      <w:r>
        <w:rPr>
          <w:b/>
          <w:sz w:val="24"/>
          <w:u w:val="single"/>
        </w:rPr>
        <w:t>Variable Services Fee</w:t>
      </w:r>
      <w:r>
        <w:rPr>
          <w:sz w:val="24"/>
        </w:rPr>
        <w:t>.  Shipper shall pay Lost Creek a Variable Services Fee of $0.14 per MMBtu for all Variable Quantity gas, as measured at the Receipt Point, gathered hereunder (the “</w:t>
      </w:r>
      <w:r>
        <w:rPr>
          <w:sz w:val="24"/>
          <w:u w:val="single"/>
        </w:rPr>
        <w:t>Variable Services Fee</w:t>
      </w:r>
      <w:r>
        <w:rPr>
          <w:sz w:val="24"/>
        </w:rPr>
        <w:t xml:space="preserve">”).  </w:t>
      </w:r>
    </w:p>
    <w:p>
      <w:pPr>
        <w:pStyle w:val="Normal"/>
        <w:numPr>
          <w:ilvl w:val="0"/>
          <w:numId w:val="0"/>
        </w:numPr>
        <w:ind w:hanging="576" w:start="576" w:end="0"/>
        <w:jc w:val="both"/>
        <w:rPr>
          <w:sz w:val="24"/>
        </w:rPr>
      </w:pPr>
      <w:r>
        <w:rPr>
          <w:sz w:val="24"/>
        </w:rPr>
      </w:r>
    </w:p>
    <w:p>
      <w:pPr>
        <w:pStyle w:val="Normal"/>
        <w:numPr>
          <w:ilvl w:val="0"/>
          <w:numId w:val="18"/>
        </w:numPr>
        <w:jc w:val="both"/>
        <w:rPr>
          <w:sz w:val="24"/>
        </w:rPr>
      </w:pPr>
      <w:r>
        <w:rPr>
          <w:b/>
          <w:sz w:val="24"/>
          <w:u w:val="single"/>
        </w:rPr>
        <w:t>Statement by Lost Creek.</w:t>
      </w:r>
      <w:r>
        <w:rPr>
          <w:b/>
          <w:sz w:val="24"/>
        </w:rPr>
        <w:t xml:space="preserve">  </w:t>
      </w:r>
      <w:r>
        <w:rPr>
          <w:sz w:val="24"/>
        </w:rPr>
        <w:t>Each Month Lost Creek shall prepare and submit to Shipper a statement showing (i) the MMBtu of Gas Shipper delivered to Lost Creek for Gathering at the Receipt Point(s), (ii) Shipper's Fuel and L&amp;U, (iii) the MMBtu of Gas delivered for Shipper's account to the Delivery Point(s), and (iv) the amount due to Lost Creek for Variable Services Fee, and any other Fees hereunder during the previous Month. Payment shall be made in accordance with Article IV of the Appendix.</w:t>
      </w:r>
    </w:p>
    <w:p>
      <w:pPr>
        <w:pStyle w:val="Normal"/>
        <w:jc w:val="both"/>
        <w:rPr>
          <w:sz w:val="24"/>
        </w:rPr>
      </w:pPr>
      <w:r>
        <w:rPr>
          <w:sz w:val="24"/>
        </w:rPr>
      </w:r>
    </w:p>
    <w:p>
      <w:pPr>
        <w:pStyle w:val="Normal"/>
        <w:keepNext w:val="true"/>
        <w:keepLines/>
        <w:jc w:val="center"/>
        <w:rPr>
          <w:b/>
          <w:sz w:val="24"/>
        </w:rPr>
      </w:pPr>
      <w:r>
        <w:rPr>
          <w:b/>
          <w:sz w:val="24"/>
        </w:rPr>
        <w:t>ARTICLE IV</w:t>
      </w:r>
    </w:p>
    <w:p>
      <w:pPr>
        <w:pStyle w:val="Normal"/>
        <w:keepNext w:val="true"/>
        <w:keepLines/>
        <w:jc w:val="center"/>
        <w:rPr>
          <w:sz w:val="24"/>
        </w:rPr>
      </w:pPr>
      <w:r>
        <w:rPr>
          <w:b/>
          <w:sz w:val="24"/>
          <w:u w:val="single"/>
        </w:rPr>
        <w:t>TERM AND MINIMUM VOLUME</w:t>
      </w:r>
    </w:p>
    <w:p>
      <w:pPr>
        <w:pStyle w:val="Normal"/>
        <w:keepNext w:val="true"/>
        <w:keepLines/>
        <w:jc w:val="both"/>
        <w:rPr>
          <w:sz w:val="24"/>
        </w:rPr>
      </w:pPr>
      <w:r>
        <w:rPr>
          <w:sz w:val="24"/>
        </w:rPr>
      </w:r>
    </w:p>
    <w:p>
      <w:pPr>
        <w:pStyle w:val="Normal"/>
        <w:keepNext w:val="true"/>
        <w:keepLines/>
        <w:numPr>
          <w:ilvl w:val="0"/>
          <w:numId w:val="6"/>
        </w:numPr>
        <w:jc w:val="both"/>
        <w:rPr>
          <w:sz w:val="24"/>
        </w:rPr>
      </w:pPr>
      <w:r>
        <w:rPr>
          <w:b/>
          <w:sz w:val="24"/>
          <w:u w:val="single"/>
        </w:rPr>
        <w:t>Term.</w:t>
      </w:r>
      <w:r>
        <w:rPr>
          <w:b/>
          <w:sz w:val="24"/>
        </w:rPr>
        <w:t xml:space="preserve">  </w:t>
      </w:r>
      <w:r>
        <w:rPr>
          <w:sz w:val="24"/>
        </w:rPr>
        <w:t>This Agreement shall be effective from the Lost Creek In Service Date and shall continue for a term of twenty (20) years, with an initial term of ten (10) years (the "</w:t>
      </w:r>
      <w:r>
        <w:rPr>
          <w:sz w:val="24"/>
          <w:u w:val="single"/>
        </w:rPr>
        <w:t>Initial Term</w:t>
      </w:r>
      <w:r>
        <w:rPr>
          <w:sz w:val="24"/>
        </w:rPr>
        <w:t>") and, subject to Lost Creek's rights under Section 4.2 and Section 4.3, a subsequent term of ten (10) years beginning at the end of the Initial Term. Provided however, if the Lost Creek In Service Date has not occurred on or before December 31, 2001, then this Agreement shall automatically terminate.</w:t>
      </w:r>
    </w:p>
    <w:p>
      <w:pPr>
        <w:pStyle w:val="Normal"/>
        <w:numPr>
          <w:ilvl w:val="0"/>
          <w:numId w:val="0"/>
        </w:numPr>
        <w:ind w:hanging="576" w:start="576" w:end="0"/>
        <w:jc w:val="both"/>
        <w:rPr>
          <w:sz w:val="24"/>
        </w:rPr>
      </w:pPr>
      <w:r>
        <w:rPr>
          <w:sz w:val="24"/>
        </w:rPr>
      </w:r>
    </w:p>
    <w:p>
      <w:pPr>
        <w:pStyle w:val="Normal"/>
        <w:numPr>
          <w:ilvl w:val="0"/>
          <w:numId w:val="6"/>
        </w:numPr>
        <w:jc w:val="both"/>
        <w:rPr>
          <w:sz w:val="24"/>
        </w:rPr>
      </w:pPr>
      <w:r>
        <w:rPr>
          <w:b/>
          <w:sz w:val="24"/>
          <w:u w:val="single"/>
        </w:rPr>
        <w:t>Minimum Receipt Point Volume.</w:t>
      </w:r>
      <w:r>
        <w:rPr>
          <w:sz w:val="24"/>
        </w:rPr>
        <w:t xml:space="preserve">  If, after the Initial Term, the total volume of Shipper's Gas Tendered at any Receipt Point(s) hereunder falls below fifteen hundred (1500) MMBtu for a Month, or fifty (50) MMBtu per Day for a Month at any Receipt Point(s), then Lost Creek may at its option (i) release such Receipt Point(s) from this Agreement upon thirty (30) Days prior written notice to Shipper or (ii) charge Shipper a fixed fee of three hundred fifty dollars ($350) per Month per Receipt Point for Gathering Services provided hereunder at such Receipt Point(s) in lieu of Fees provided for herein unless, within such thirty (30) Day notice period, Lost Creek and Shipper mutually agree to new Fees hereunder.</w:t>
      </w:r>
    </w:p>
    <w:p>
      <w:pPr>
        <w:pStyle w:val="Normal"/>
        <w:numPr>
          <w:ilvl w:val="0"/>
          <w:numId w:val="0"/>
        </w:numPr>
        <w:ind w:hanging="576" w:start="576" w:end="0"/>
        <w:jc w:val="both"/>
        <w:rPr>
          <w:sz w:val="24"/>
        </w:rPr>
      </w:pPr>
      <w:r>
        <w:rPr>
          <w:sz w:val="24"/>
        </w:rPr>
      </w:r>
    </w:p>
    <w:p>
      <w:pPr>
        <w:pStyle w:val="Normal"/>
        <w:numPr>
          <w:ilvl w:val="0"/>
          <w:numId w:val="6"/>
        </w:numPr>
        <w:jc w:val="both"/>
        <w:rPr>
          <w:sz w:val="24"/>
        </w:rPr>
      </w:pPr>
      <w:r>
        <w:rPr>
          <w:b/>
          <w:sz w:val="24"/>
          <w:u w:val="single"/>
        </w:rPr>
        <w:t>Minimum Contract Volume.</w:t>
      </w:r>
      <w:r>
        <w:rPr>
          <w:b/>
          <w:sz w:val="24"/>
        </w:rPr>
        <w:t xml:space="preserve">  </w:t>
      </w:r>
      <w:r>
        <w:rPr>
          <w:sz w:val="24"/>
        </w:rPr>
        <w:t xml:space="preserve">If, after the Initial Term, the total volume of Shipper's Gas Tendered hereunder falls below fifteen hundred (1500) MMBtu for a Month for all Receipt Point(s) listed on </w:t>
      </w:r>
      <w:r>
        <w:rPr>
          <w:sz w:val="24"/>
          <w:u w:val="single"/>
        </w:rPr>
        <w:t>Exhibit "A</w:t>
      </w:r>
      <w:r>
        <w:rPr>
          <w:sz w:val="24"/>
        </w:rPr>
        <w:t>" hereof, then Lost Creek may terminate this Agreement in its entirety upon thirty (30) Days prior written notice unless, within such period, Lost Creek and Shipper mutually agree in writing to new Fees hereunder.</w:t>
      </w:r>
    </w:p>
    <w:p>
      <w:pPr>
        <w:pStyle w:val="Normal"/>
        <w:jc w:val="both"/>
        <w:rPr>
          <w:sz w:val="24"/>
        </w:rPr>
      </w:pPr>
      <w:r>
        <w:rPr>
          <w:sz w:val="24"/>
        </w:rPr>
      </w:r>
    </w:p>
    <w:p>
      <w:pPr>
        <w:pStyle w:val="Normal"/>
        <w:jc w:val="center"/>
        <w:rPr>
          <w:b/>
          <w:sz w:val="24"/>
        </w:rPr>
      </w:pPr>
      <w:r>
        <w:rPr>
          <w:b/>
          <w:sz w:val="24"/>
        </w:rPr>
        <w:t>ARTICLE V</w:t>
      </w:r>
    </w:p>
    <w:p>
      <w:pPr>
        <w:pStyle w:val="Normal"/>
        <w:jc w:val="center"/>
        <w:rPr>
          <w:b/>
          <w:sz w:val="24"/>
          <w:u w:val="single"/>
        </w:rPr>
      </w:pPr>
      <w:r>
        <w:rPr>
          <w:b/>
          <w:sz w:val="24"/>
          <w:u w:val="single"/>
        </w:rPr>
        <w:t>RECEIPT POINT(S), DELIVERY POINT(S)</w:t>
      </w:r>
    </w:p>
    <w:p>
      <w:pPr>
        <w:pStyle w:val="Normal"/>
        <w:jc w:val="center"/>
        <w:rPr>
          <w:b/>
          <w:sz w:val="24"/>
        </w:rPr>
      </w:pPr>
      <w:r>
        <w:rPr>
          <w:b/>
          <w:sz w:val="24"/>
          <w:u w:val="single"/>
        </w:rPr>
        <w:t>QUALITY, PRESSURES, AND REDUCTIONS</w:t>
      </w:r>
    </w:p>
    <w:p>
      <w:pPr>
        <w:pStyle w:val="Normal"/>
        <w:jc w:val="both"/>
        <w:rPr>
          <w:b/>
          <w:sz w:val="24"/>
        </w:rPr>
      </w:pPr>
      <w:r>
        <w:rPr>
          <w:b/>
          <w:sz w:val="24"/>
        </w:rPr>
      </w:r>
    </w:p>
    <w:p>
      <w:pPr>
        <w:pStyle w:val="Normal"/>
        <w:numPr>
          <w:ilvl w:val="0"/>
          <w:numId w:val="9"/>
        </w:numPr>
        <w:jc w:val="both"/>
        <w:rPr>
          <w:b/>
          <w:sz w:val="24"/>
        </w:rPr>
      </w:pPr>
      <w:r>
        <w:rPr>
          <w:b/>
          <w:sz w:val="24"/>
          <w:u w:val="single"/>
        </w:rPr>
        <w:t>Receipt Point(s) and Pressures.</w:t>
      </w:r>
      <w:r>
        <w:rPr>
          <w:b/>
          <w:sz w:val="24"/>
        </w:rPr>
        <w:t xml:space="preserve">  </w:t>
      </w:r>
      <w:r>
        <w:rPr>
          <w:sz w:val="24"/>
        </w:rPr>
        <w:t xml:space="preserve">The Receipt Point(s) at which Shipper shall cause Shipper's Gas to be Tendered to Lost Creek for Gathering hereunder are described on </w:t>
      </w:r>
      <w:r>
        <w:rPr>
          <w:sz w:val="24"/>
          <w:u w:val="single"/>
        </w:rPr>
        <w:t>Exhibit "A</w:t>
      </w:r>
      <w:r>
        <w:rPr>
          <w:sz w:val="24"/>
        </w:rPr>
        <w:t>" to this Agreement.  Shipper shall be required to deliver or cause to be delivered Shipper's Gas at a pressure sufficient to enter Lost Creek's System against the working pressure maintained therein from time to time, not to exceed the Maximum Allowable Operating Pressure ("</w:t>
      </w:r>
      <w:r>
        <w:rPr>
          <w:sz w:val="24"/>
          <w:u w:val="single"/>
        </w:rPr>
        <w:t>MAOP</w:t>
      </w:r>
      <w:r>
        <w:rPr>
          <w:sz w:val="24"/>
        </w:rPr>
        <w:t>") of the System.  Shipper, at its sole cost and expense, shall provide a pressure-limiting device for each of its operated Receipt Point(s) which shall at all times prevent the pressure at the Receipt Point(s) from exceeding System MAOP.  In the event that Shipper is not the operator of the Receipt Point(s), Shipper shall cause the operator upstream of the Receipt Point(s) to install such a pressure-limiting device prior to Shipper Tendering Gas to Lost Creek for Gathering Services hereunder.</w:t>
      </w:r>
    </w:p>
    <w:p>
      <w:pPr>
        <w:pStyle w:val="Normal"/>
        <w:numPr>
          <w:ilvl w:val="0"/>
          <w:numId w:val="0"/>
        </w:numPr>
        <w:ind w:hanging="576" w:start="576" w:end="0"/>
        <w:jc w:val="both"/>
        <w:rPr>
          <w:b/>
          <w:sz w:val="24"/>
        </w:rPr>
      </w:pPr>
      <w:r>
        <w:rPr>
          <w:b/>
          <w:sz w:val="24"/>
        </w:rPr>
      </w:r>
    </w:p>
    <w:p>
      <w:pPr>
        <w:pStyle w:val="Normal"/>
        <w:numPr>
          <w:ilvl w:val="0"/>
          <w:numId w:val="9"/>
        </w:numPr>
        <w:jc w:val="both"/>
        <w:rPr>
          <w:sz w:val="24"/>
        </w:rPr>
      </w:pPr>
      <w:r>
        <w:rPr>
          <w:b/>
          <w:sz w:val="24"/>
          <w:u w:val="single"/>
        </w:rPr>
        <w:t>Delivery Point(s) and Pressures.</w:t>
      </w:r>
      <w:r>
        <w:rPr>
          <w:b/>
          <w:sz w:val="24"/>
        </w:rPr>
        <w:t xml:space="preserve">  </w:t>
      </w:r>
      <w:r>
        <w:rPr>
          <w:sz w:val="24"/>
        </w:rPr>
        <w:t xml:space="preserve">The Delivery Point(s) at which Lost Creek shall deliver Thermally Equivalent quantities of Gas Gathered hereunder, less Shipper's Fuel and L&amp;U, are listed on </w:t>
      </w:r>
      <w:r>
        <w:rPr>
          <w:sz w:val="24"/>
          <w:u w:val="single"/>
        </w:rPr>
        <w:t>Exhibit "B</w:t>
      </w:r>
      <w:r>
        <w:rPr>
          <w:sz w:val="24"/>
        </w:rPr>
        <w:t>" to this Agreement.  Lost Creek shall deliver Shipper's Gas at the Delivery Point(s) at actual operating pressure not to exceed MAOP.</w:t>
      </w:r>
    </w:p>
    <w:p>
      <w:pPr>
        <w:pStyle w:val="Normal"/>
        <w:jc w:val="both"/>
        <w:rPr>
          <w:b/>
          <w:sz w:val="24"/>
          <w:u w:val="single"/>
        </w:rPr>
      </w:pPr>
      <w:r>
        <w:rPr>
          <w:b/>
          <w:sz w:val="24"/>
          <w:u w:val="single"/>
        </w:rPr>
      </w:r>
    </w:p>
    <w:p>
      <w:pPr>
        <w:pStyle w:val="Normal"/>
        <w:numPr>
          <w:ilvl w:val="0"/>
          <w:numId w:val="9"/>
        </w:numPr>
        <w:jc w:val="both"/>
        <w:rPr>
          <w:sz w:val="24"/>
        </w:rPr>
      </w:pPr>
      <w:r>
        <w:rPr>
          <w:b/>
          <w:sz w:val="24"/>
          <w:u w:val="single"/>
        </w:rPr>
        <w:t>Quality.</w:t>
      </w:r>
      <w:r>
        <w:rPr>
          <w:b/>
          <w:sz w:val="24"/>
        </w:rPr>
        <w:t xml:space="preserve">  </w:t>
      </w:r>
      <w:r>
        <w:rPr>
          <w:sz w:val="24"/>
        </w:rPr>
        <w:t xml:space="preserve">All Gas Tendered by Shipper to Lost Creek for Gathering at the Receipt Point(s) shall conform to the quality specifications set forth in the Appendix hereof, unless different quality specifications are agreed to in writing by Lost Creek. </w:t>
      </w:r>
    </w:p>
    <w:p>
      <w:pPr>
        <w:pStyle w:val="Normal"/>
        <w:jc w:val="both"/>
        <w:rPr>
          <w:sz w:val="24"/>
          <w:u w:val="single"/>
        </w:rPr>
      </w:pPr>
      <w:r>
        <w:rPr>
          <w:sz w:val="24"/>
          <w:u w:val="single"/>
        </w:rPr>
      </w:r>
    </w:p>
    <w:p>
      <w:pPr>
        <w:pStyle w:val="Normal"/>
        <w:numPr>
          <w:ilvl w:val="0"/>
          <w:numId w:val="9"/>
        </w:numPr>
        <w:jc w:val="both"/>
        <w:rPr>
          <w:sz w:val="24"/>
        </w:rPr>
      </w:pPr>
      <w:r>
        <w:rPr>
          <w:b/>
          <w:sz w:val="24"/>
          <w:u w:val="single"/>
        </w:rPr>
        <w:t>Non Conforming Gas</w:t>
      </w:r>
      <w:r>
        <w:rPr>
          <w:sz w:val="24"/>
        </w:rPr>
        <w:t>.  Lost Creek, at its option, may refuse to accept receipt of any Gas not meeting the quality specifications set out herein.  Thereafter, Shipper shall have the right to conform the Gas to the above specifications.  If Shipper does not elect to conform the Gas to said specifications, then Lost Creek may accept Gas Tendered by Shipper hereunder which does not meet the specifications above, treat same to conform to said specifications and charge Shipper a mutually agreeable fee.  If, at any time, Shipper determines that Lost Creek's treating costs can no longer be economically justified, Shipper shall so notify Lost Creek in writing and in the event Lost Creek is unable or unwilling to adjust such treating costs to a level acceptable to Shipper, Shipper shall have the right to obtain the release of such well from the terms of this Agreement.  If neither Lost Creek nor Shipper elects to treat the Gas to conform to the above specifications or such treatment is terminated, then Lost Creek shall upon thirty (30) Days prior written notice from Shipper, release from the provisions of the Agreement the well (as to the producing formation only) from which such Gas is produced.  The receipt by Lost Creek of Gas which fails to meet any one of the above requirements shall not be held to be a waiver of Lost Creek's right to refuse future delivery of such Gas.</w:t>
      </w:r>
    </w:p>
    <w:p>
      <w:pPr>
        <w:pStyle w:val="Normal"/>
        <w:jc w:val="both"/>
        <w:rPr>
          <w:sz w:val="24"/>
        </w:rPr>
      </w:pPr>
      <w:r>
        <w:rPr>
          <w:sz w:val="24"/>
        </w:rPr>
      </w:r>
    </w:p>
    <w:p>
      <w:pPr>
        <w:pStyle w:val="Normal"/>
        <w:numPr>
          <w:ilvl w:val="0"/>
          <w:numId w:val="9"/>
        </w:numPr>
        <w:jc w:val="both"/>
        <w:rPr>
          <w:sz w:val="24"/>
        </w:rPr>
      </w:pPr>
      <w:r>
        <w:rPr>
          <w:b/>
          <w:sz w:val="24"/>
          <w:u w:val="single"/>
        </w:rPr>
        <w:t>Reductions</w:t>
      </w:r>
      <w:r>
        <w:rPr>
          <w:sz w:val="24"/>
        </w:rPr>
        <w:t>.</w:t>
      </w:r>
      <w:r>
        <w:rPr>
          <w:b/>
          <w:sz w:val="24"/>
        </w:rPr>
        <w:t xml:space="preserve">  </w:t>
      </w:r>
      <w:r>
        <w:rPr>
          <w:sz w:val="24"/>
        </w:rPr>
        <w:t>Commencing on the date of first receipt by Lost Creek of Shipper's Gas pursuant to this Agreement,  Lost Creek shall deliver and Shipper shall accept each Day at the Delivery Point(s), a quantity of Shipper's Gas Thermally Equivalent to the quantity of Shipper's Gas received by Lost Creek at the Receipt Point(s) on the same Day hereunder, less Shipper's Fuel and L&amp;U.</w:t>
      </w:r>
    </w:p>
    <w:p>
      <w:pPr>
        <w:pStyle w:val="Normal"/>
        <w:jc w:val="both"/>
        <w:rPr>
          <w:sz w:val="24"/>
        </w:rPr>
      </w:pPr>
      <w:r>
        <w:rPr>
          <w:sz w:val="24"/>
        </w:rPr>
      </w:r>
    </w:p>
    <w:p>
      <w:pPr>
        <w:pStyle w:val="Normal"/>
        <w:jc w:val="center"/>
        <w:rPr>
          <w:b/>
          <w:sz w:val="24"/>
        </w:rPr>
      </w:pPr>
      <w:r>
        <w:rPr>
          <w:b/>
          <w:sz w:val="24"/>
        </w:rPr>
        <w:t>ARTICLE VI</w:t>
      </w:r>
    </w:p>
    <w:p>
      <w:pPr>
        <w:pStyle w:val="Normal"/>
        <w:jc w:val="center"/>
        <w:rPr>
          <w:b/>
          <w:sz w:val="24"/>
        </w:rPr>
      </w:pPr>
      <w:r>
        <w:rPr>
          <w:b/>
          <w:sz w:val="24"/>
          <w:u w:val="single"/>
        </w:rPr>
        <w:t>INTERRUPTION OF SERVICE</w:t>
      </w:r>
    </w:p>
    <w:p>
      <w:pPr>
        <w:pStyle w:val="Normal"/>
        <w:jc w:val="both"/>
        <w:rPr>
          <w:b/>
          <w:sz w:val="24"/>
        </w:rPr>
      </w:pPr>
      <w:r>
        <w:rPr>
          <w:b/>
          <w:sz w:val="24"/>
        </w:rPr>
      </w:r>
    </w:p>
    <w:p>
      <w:pPr>
        <w:pStyle w:val="Normal"/>
        <w:numPr>
          <w:ilvl w:val="0"/>
          <w:numId w:val="17"/>
        </w:numPr>
        <w:jc w:val="both"/>
        <w:rPr>
          <w:sz w:val="24"/>
        </w:rPr>
      </w:pPr>
      <w:r>
        <w:rPr>
          <w:b/>
          <w:sz w:val="24"/>
          <w:u w:val="single"/>
        </w:rPr>
        <w:t>Tests and Repairs</w:t>
      </w:r>
      <w:r>
        <w:rPr>
          <w:sz w:val="24"/>
        </w:rPr>
        <w:t xml:space="preserve">  Consistent with the terms of this Agreement, Lost Creek shall have the right to interrupt the Gathering Services for Shipper when necessary to test, alter, modify, replace, enlarge or repair any facility or property comprising a part of, or appurtenant to, Lost Creek's System or otherwise related to the operation thereof for Normal and Routine Maintenance.  Lost Creek shall endeavor to cause a minimum of inconvenience to Shipper because of such interruptions and shall use reasonable efforts to provide Shipper at least seventy-two (72) hours prior notice for preplanned, non-emergency interruptions.</w:t>
      </w:r>
    </w:p>
    <w:p>
      <w:pPr>
        <w:pStyle w:val="Normal"/>
        <w:numPr>
          <w:ilvl w:val="0"/>
          <w:numId w:val="0"/>
        </w:numPr>
        <w:ind w:hanging="576" w:start="576" w:end="0"/>
        <w:jc w:val="both"/>
        <w:rPr>
          <w:sz w:val="24"/>
        </w:rPr>
      </w:pPr>
      <w:r>
        <w:rPr>
          <w:sz w:val="24"/>
        </w:rPr>
      </w:r>
    </w:p>
    <w:p>
      <w:pPr>
        <w:pStyle w:val="Normal"/>
        <w:numPr>
          <w:ilvl w:val="0"/>
          <w:numId w:val="17"/>
        </w:numPr>
        <w:jc w:val="both"/>
        <w:rPr>
          <w:sz w:val="24"/>
        </w:rPr>
      </w:pPr>
      <w:r>
        <w:rPr>
          <w:b/>
          <w:sz w:val="24"/>
          <w:u w:val="single"/>
        </w:rPr>
        <w:t>Curtailment of Service(s)</w:t>
      </w:r>
      <w:r>
        <w:rPr>
          <w:sz w:val="24"/>
        </w:rPr>
        <w:t xml:space="preserve">  If Lost Creek at any time and from time to time in good faith determines that for operational, safety or capacity reasons it must Curtail or shut off receipt of Shipper's Gas hereunder it will notify Shipper of such fact and will confirm such notice in writing.  Shipper will immediately comply with Lost Creek's request for Curtailment or shut-in in accordance with Lost Creek's notice. Shipper additionally grants Lost Creek the right at all times to shut-in for safety reasons any wellhead, compressor or block valve controlling Gas entering Lost Creek's System.</w:t>
      </w:r>
    </w:p>
    <w:p>
      <w:pPr>
        <w:pStyle w:val="Normal"/>
        <w:jc w:val="both"/>
        <w:rPr>
          <w:b/>
          <w:sz w:val="24"/>
          <w:u w:val="single"/>
        </w:rPr>
      </w:pPr>
      <w:r>
        <w:rPr>
          <w:b/>
          <w:sz w:val="24"/>
          <w:u w:val="single"/>
        </w:rPr>
      </w:r>
    </w:p>
    <w:p>
      <w:pPr>
        <w:pStyle w:val="Normal"/>
        <w:numPr>
          <w:ilvl w:val="0"/>
          <w:numId w:val="17"/>
        </w:numPr>
        <w:jc w:val="both"/>
        <w:rPr>
          <w:sz w:val="24"/>
        </w:rPr>
      </w:pPr>
      <w:r>
        <w:rPr>
          <w:b/>
          <w:sz w:val="24"/>
          <w:u w:val="single"/>
        </w:rPr>
        <w:t>Curtailment Procedures</w:t>
      </w:r>
      <w:r>
        <w:rPr>
          <w:sz w:val="24"/>
        </w:rPr>
        <w:t xml:space="preserve">  If Lost Creek determines on any Day that the capacity of the System or any portion thereof is insufficient to satisfy the requirements for Gathering Services requested pursuant to executed Lost Creek gathering agreements on the System, Lost Creek may Curtail or interrupt deliveries in accordance with the priorities set forth herein, to the extent necessary to maintain priority of Gathering Services.  Causes for Curtailment or interruption may be Force Majeure, insufficient downstream or System capacity, regulatory rule or order and/or Normal and Routine Maintenance.  Lost Creek shall Curtail Gathering Services based upon the daily Scheduled Nomination of Shipper and other shippers for Gathering of Gas pursuant to executed Lost Creek gas gathering agreements on the System, provided however, such nominations shall not exceed (i) a shipper's then current capability to deliver such shipper's Gas, (ii) the available capacity of Lost Creek's System, (iii) the capacity on any applicable segment of Lost Creek's System, or (iv) the capacity at any applicable Receipt or Delivery Point(s).  Gas shall be Curtailed in accordance with the following priority: </w:t>
      </w:r>
    </w:p>
    <w:p>
      <w:pPr>
        <w:pStyle w:val="Normal"/>
        <w:jc w:val="both"/>
        <w:rPr>
          <w:sz w:val="24"/>
        </w:rPr>
      </w:pPr>
      <w:r>
        <w:rPr>
          <w:sz w:val="24"/>
        </w:rPr>
      </w:r>
    </w:p>
    <w:p>
      <w:pPr>
        <w:pStyle w:val="Normal"/>
        <w:numPr>
          <w:ilvl w:val="0"/>
          <w:numId w:val="15"/>
        </w:numPr>
        <w:tabs>
          <w:tab w:val="clear" w:pos="720"/>
          <w:tab w:val="left" w:pos="936" w:leader="none"/>
        </w:tabs>
        <w:ind w:hanging="360" w:start="936" w:end="0"/>
        <w:jc w:val="both"/>
        <w:rPr>
          <w:sz w:val="24"/>
        </w:rPr>
      </w:pPr>
      <w:r>
        <w:rPr>
          <w:b/>
          <w:sz w:val="24"/>
          <w:u w:val="single"/>
        </w:rPr>
        <w:t>Class of Service</w:t>
      </w:r>
      <w:r>
        <w:rPr>
          <w:sz w:val="24"/>
        </w:rPr>
        <w:t>.  Gathering Service shall be suspended in the following priority based upon class of service.  The next higher class of service shall not be suspended until all volumes of lower classes of service have been suspended:</w:t>
      </w:r>
    </w:p>
    <w:p>
      <w:pPr>
        <w:pStyle w:val="Normal"/>
        <w:ind w:start="576" w:end="0"/>
        <w:jc w:val="both"/>
        <w:rPr>
          <w:sz w:val="24"/>
        </w:rPr>
      </w:pPr>
      <w:r>
        <w:rPr>
          <w:sz w:val="24"/>
        </w:rPr>
      </w:r>
    </w:p>
    <w:p>
      <w:pPr>
        <w:pStyle w:val="Normal"/>
        <w:numPr>
          <w:ilvl w:val="0"/>
          <w:numId w:val="5"/>
        </w:numPr>
        <w:tabs>
          <w:tab w:val="clear" w:pos="720"/>
          <w:tab w:val="left" w:pos="2016" w:leader="none"/>
        </w:tabs>
        <w:ind w:hanging="360" w:start="2016" w:end="0"/>
        <w:jc w:val="both"/>
        <w:rPr>
          <w:sz w:val="24"/>
        </w:rPr>
      </w:pPr>
      <w:r>
        <w:rPr>
          <w:sz w:val="24"/>
        </w:rPr>
        <w:t xml:space="preserve">Make up gas </w:t>
      </w:r>
    </w:p>
    <w:p>
      <w:pPr>
        <w:pStyle w:val="Normal"/>
        <w:numPr>
          <w:ilvl w:val="0"/>
          <w:numId w:val="5"/>
        </w:numPr>
        <w:tabs>
          <w:tab w:val="clear" w:pos="720"/>
          <w:tab w:val="left" w:pos="2016" w:leader="none"/>
        </w:tabs>
        <w:ind w:hanging="360" w:start="2016" w:end="0"/>
        <w:jc w:val="both"/>
        <w:rPr>
          <w:sz w:val="24"/>
        </w:rPr>
      </w:pPr>
      <w:r>
        <w:rPr>
          <w:sz w:val="24"/>
        </w:rPr>
        <w:t>Interruptible Gathering Service</w:t>
      </w:r>
    </w:p>
    <w:p>
      <w:pPr>
        <w:pStyle w:val="Normal"/>
        <w:numPr>
          <w:ilvl w:val="0"/>
          <w:numId w:val="5"/>
        </w:numPr>
        <w:tabs>
          <w:tab w:val="clear" w:pos="720"/>
          <w:tab w:val="left" w:pos="2016" w:leader="none"/>
        </w:tabs>
        <w:ind w:hanging="360" w:start="2016" w:end="0"/>
        <w:jc w:val="both"/>
        <w:rPr>
          <w:sz w:val="24"/>
        </w:rPr>
      </w:pPr>
      <w:r>
        <w:rPr>
          <w:sz w:val="24"/>
        </w:rPr>
        <w:t>Volumetric Firm Gathering Service</w:t>
      </w:r>
    </w:p>
    <w:p>
      <w:pPr>
        <w:pStyle w:val="Normal"/>
        <w:numPr>
          <w:ilvl w:val="0"/>
          <w:numId w:val="5"/>
        </w:numPr>
        <w:tabs>
          <w:tab w:val="clear" w:pos="720"/>
          <w:tab w:val="left" w:pos="2016" w:leader="none"/>
        </w:tabs>
        <w:ind w:hanging="360" w:start="2016" w:end="0"/>
        <w:jc w:val="both"/>
        <w:rPr>
          <w:sz w:val="24"/>
        </w:rPr>
      </w:pPr>
      <w:r>
        <w:rPr>
          <w:sz w:val="24"/>
        </w:rPr>
        <w:t>Dedicated Reserves Gathering Service</w:t>
      </w:r>
    </w:p>
    <w:p>
      <w:pPr>
        <w:pStyle w:val="Normal"/>
        <w:numPr>
          <w:ilvl w:val="0"/>
          <w:numId w:val="5"/>
        </w:numPr>
        <w:tabs>
          <w:tab w:val="clear" w:pos="720"/>
          <w:tab w:val="left" w:pos="2016" w:leader="none"/>
        </w:tabs>
        <w:ind w:hanging="360" w:start="2016" w:end="0"/>
        <w:jc w:val="both"/>
        <w:rPr>
          <w:sz w:val="24"/>
        </w:rPr>
      </w:pPr>
      <w:r>
        <w:rPr>
          <w:sz w:val="24"/>
        </w:rPr>
        <w:t>Firm Demand Fee Gathering Service.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start="576" w:end="0"/>
        <w:jc w:val="both"/>
        <w:rPr>
          <w:sz w:val="24"/>
        </w:rPr>
      </w:pPr>
      <w:r>
        <w:rPr>
          <w:sz w:val="24"/>
        </w:rPr>
        <w:t xml:space="preserve">    </w:t>
      </w:r>
    </w:p>
    <w:p>
      <w:pPr>
        <w:pStyle w:val="Legal3"/>
        <w:keepNext w:val="false"/>
        <w:numPr>
          <w:ilvl w:val="0"/>
          <w:numId w:val="15"/>
        </w:numPr>
        <w:tabs>
          <w:tab w:val="left" w:pos="-2160" w:leader="none"/>
          <w:tab w:val="left" w:pos="-1440" w:leader="none"/>
          <w:tab w:val="left" w:pos="-720" w:leader="none"/>
          <w:tab w:val="left" w:pos="0" w:leader="none"/>
          <w:tab w:val="left" w:pos="720" w:leader="none"/>
          <w:tab w:val="left" w:pos="93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spacing w:lineRule="atLeast" w:line="1"/>
        <w:ind w:hanging="360" w:start="936" w:end="0"/>
        <w:jc w:val="both"/>
        <w:rPr/>
      </w:pPr>
      <w:r>
        <w:rPr>
          <w:b/>
          <w:u w:val="single"/>
        </w:rPr>
        <w:t>Pro Rata Allocation</w:t>
      </w:r>
      <w:r>
        <w:rPr/>
        <w:t xml:space="preserve">.  If two or more shippers are entitled to the same priority under the criteria stated above, the capacity available to such shippers shall be allocated among them on a </w:t>
      </w:r>
      <w:r>
        <w:rPr>
          <w:i/>
        </w:rPr>
        <w:t>pro rata</w:t>
      </w:r>
      <w:r>
        <w:rPr/>
        <w:t xml:space="preserve"> basis, affording each a portion of such capacity available equal to the quotient of (i) the quantity nominated by such Shipper, and confirmed by Lost Creek if no waiver of the confirmation has been agreed to, for Gathering Service through the constrained point during the applicable Day; divided by (ii) the total quantity nominated by all Shippers sharing such priority, and confirmed by Lost Creek if no waiver of the confirmation has been agreed to, for Gathering Service through the constrained point during such Day.</w:t>
      </w:r>
    </w:p>
    <w:p>
      <w:pPr>
        <w:pStyle w:val="Legal3"/>
        <w:keepNext w:val="false"/>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spacing w:lineRule="atLeast" w:line="1"/>
        <w:ind w:start="576" w:end="0"/>
        <w:jc w:val="both"/>
        <w:rPr/>
      </w:pPr>
      <w:r>
        <w:rPr/>
      </w:r>
    </w:p>
    <w:p>
      <w:pPr>
        <w:pStyle w:val="Legal3"/>
        <w:keepNext w:val="false"/>
        <w:numPr>
          <w:ilvl w:val="0"/>
          <w:numId w:val="15"/>
        </w:numPr>
        <w:tabs>
          <w:tab w:val="left" w:pos="-2160" w:leader="none"/>
          <w:tab w:val="left" w:pos="-1440" w:leader="none"/>
          <w:tab w:val="left" w:pos="-720" w:leader="none"/>
          <w:tab w:val="left" w:pos="0" w:leader="none"/>
          <w:tab w:val="left" w:pos="720" w:leader="none"/>
          <w:tab w:val="left" w:pos="93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spacing w:lineRule="atLeast" w:line="1"/>
        <w:ind w:hanging="360" w:start="936" w:end="0"/>
        <w:jc w:val="both"/>
        <w:rPr/>
      </w:pPr>
      <w:r>
        <w:rPr>
          <w:b/>
          <w:u w:val="single"/>
        </w:rPr>
        <w:t>Shipper's Priority</w:t>
      </w:r>
      <w:r>
        <w:rPr/>
        <w:t xml:space="preserve">. The Fixed Quantity of Shipper's Gas shall be deemed to be class of service 5. "Firm Demand Fee Gathering Services" and the Variable Quantity of Shipper's Gas shall be deemed to be class of service 4. "Dedicated Reserves Gathering Services." </w:t>
      </w:r>
    </w:p>
    <w:p>
      <w:pPr>
        <w:pStyle w:val="Normal"/>
        <w:numPr>
          <w:ilvl w:val="0"/>
          <w:numId w:val="0"/>
        </w:numPr>
        <w:ind w:hanging="576" w:start="576" w:end="0"/>
        <w:jc w:val="both"/>
        <w:rPr>
          <w:sz w:val="24"/>
        </w:rPr>
      </w:pPr>
      <w:r>
        <w:rPr>
          <w:sz w:val="24"/>
        </w:rPr>
      </w:r>
    </w:p>
    <w:p>
      <w:pPr>
        <w:pStyle w:val="Normal"/>
        <w:numPr>
          <w:ilvl w:val="0"/>
          <w:numId w:val="17"/>
        </w:numPr>
        <w:jc w:val="both"/>
        <w:rPr>
          <w:sz w:val="24"/>
        </w:rPr>
      </w:pPr>
      <w:r>
        <w:rPr>
          <w:b/>
          <w:sz w:val="24"/>
          <w:u w:val="single"/>
        </w:rPr>
        <w:t>Release of Curtailed Volumes.</w:t>
      </w:r>
      <w:r>
        <w:rPr>
          <w:sz w:val="24"/>
        </w:rPr>
        <w:t xml:space="preserve">  If at any time Lost Creek is unable to accept the quantity of Shipper's Gas Tendered by Shipper for Gathering Services for any cause specifically related to Lost Creek, the Daily quantity of such Shipper's Gas not accepted shall be released from this Agreement for so long as, and to the extent that, Lost Creek does not accept such quantity of  Shipper's Gas.  If a quantity of Shipper's Gas is released pursuant to the foregoing for a period greater than 7 consecutive Days, then the released portion of Shipper's Gas shall be released, at Shipper's option, for a further period no greater than the first Day of the second Month occurring after the first Day on which Shipper's Gas was first released pursuant to this Section.</w:t>
      </w:r>
    </w:p>
    <w:p>
      <w:pPr>
        <w:pStyle w:val="Normal"/>
        <w:jc w:val="both"/>
        <w:rPr>
          <w:sz w:val="24"/>
        </w:rPr>
      </w:pPr>
      <w:r>
        <w:rPr>
          <w:sz w:val="24"/>
        </w:rPr>
      </w:r>
    </w:p>
    <w:p>
      <w:pPr>
        <w:pStyle w:val="Normal"/>
        <w:numPr>
          <w:ilvl w:val="0"/>
          <w:numId w:val="17"/>
        </w:numPr>
        <w:jc w:val="both"/>
        <w:rPr>
          <w:b/>
          <w:sz w:val="24"/>
          <w:u w:val="single"/>
        </w:rPr>
      </w:pPr>
      <w:r>
        <w:rPr>
          <w:b/>
          <w:sz w:val="24"/>
          <w:u w:val="single"/>
        </w:rPr>
        <w:t xml:space="preserve">Pro Rata Allocation of Fixed Gathering Fee. </w:t>
      </w:r>
      <w:r>
        <w:rPr>
          <w:sz w:val="24"/>
        </w:rPr>
        <w:t xml:space="preserve">  During the Initial Term, if Lost Creek Curtails all or any portion of Shipper's Fixed Quantity, for reasons other than Force Majeure or Normal and Routine Maintenance, for more than three consecutive Days, then for the duration of such Curtailment the Fixed Gathering Fee shall be reduced at the rate of $0.14 per MMBtu per Day for each MMBtu of Gas comprising the Fixed Quantity that is Tendered by Shipper and for which there is a Scheduled Nomination that is so Curtailed by Lost Creek.</w:t>
      </w:r>
    </w:p>
    <w:p>
      <w:pPr>
        <w:pStyle w:val="Normal"/>
        <w:jc w:val="both"/>
        <w:rPr>
          <w:b/>
          <w:sz w:val="24"/>
          <w:u w:val="single"/>
        </w:rPr>
      </w:pPr>
      <w:r>
        <w:rPr>
          <w:b/>
          <w:sz w:val="24"/>
          <w:u w:val="single"/>
        </w:rPr>
      </w:r>
    </w:p>
    <w:p>
      <w:pPr>
        <w:pStyle w:val="Normal"/>
        <w:jc w:val="center"/>
        <w:rPr>
          <w:b/>
          <w:sz w:val="24"/>
        </w:rPr>
      </w:pPr>
      <w:r>
        <w:rPr>
          <w:b/>
          <w:sz w:val="24"/>
        </w:rPr>
        <w:t>ARTICLE VII</w:t>
      </w:r>
    </w:p>
    <w:p>
      <w:pPr>
        <w:pStyle w:val="Normal"/>
        <w:jc w:val="center"/>
        <w:rPr>
          <w:b/>
          <w:sz w:val="24"/>
          <w:u w:val="single"/>
        </w:rPr>
      </w:pPr>
      <w:r>
        <w:rPr>
          <w:b/>
          <w:sz w:val="24"/>
          <w:u w:val="single"/>
        </w:rPr>
        <w:t>SCHEDULING OF RECEIPTS AND DELIVERIES</w:t>
      </w:r>
    </w:p>
    <w:p>
      <w:pPr>
        <w:pStyle w:val="Normal"/>
        <w:jc w:val="center"/>
        <w:rPr>
          <w:b/>
          <w:sz w:val="24"/>
        </w:rPr>
      </w:pPr>
      <w:r>
        <w:rPr>
          <w:b/>
          <w:sz w:val="24"/>
          <w:u w:val="single"/>
        </w:rPr>
        <w:t>AND IMBALANCE RESOLUTION</w:t>
      </w:r>
    </w:p>
    <w:p>
      <w:pPr>
        <w:pStyle w:val="Normal"/>
        <w:jc w:val="both"/>
        <w:rPr>
          <w:b/>
          <w:sz w:val="24"/>
        </w:rPr>
      </w:pPr>
      <w:r>
        <w:rPr>
          <w:b/>
          <w:sz w:val="24"/>
        </w:rPr>
      </w:r>
    </w:p>
    <w:p>
      <w:pPr>
        <w:pStyle w:val="Normal"/>
        <w:numPr>
          <w:ilvl w:val="0"/>
          <w:numId w:val="12"/>
        </w:numPr>
        <w:jc w:val="both"/>
        <w:rPr>
          <w:sz w:val="24"/>
        </w:rPr>
      </w:pPr>
      <w:r>
        <w:rPr>
          <w:b/>
          <w:sz w:val="24"/>
          <w:u w:val="single"/>
        </w:rPr>
        <w:t>Scheduling.</w:t>
      </w:r>
      <w:r>
        <w:rPr>
          <w:b/>
          <w:sz w:val="24"/>
        </w:rPr>
        <w:t xml:space="preserve">  </w:t>
      </w:r>
      <w:r>
        <w:rPr>
          <w:sz w:val="24"/>
        </w:rPr>
        <w:t>Shipper shall advise Lost Creek of the volume of Shipper's Gas to be Tendered to Lost Creek at each Receipt Point(s) and redelivered to Shipper at each Delivery Point in accordance with Lost Creek's current shipper nomination procedures, as may be revised from time to time; provided however, that if these conflict with the nomination, scheduling and other provisions of this Agreement, the provisions of this Agreement shall prevail.  Shipper shall advise its respective operator(s) and Lost Creek of the volume of Shipper's Gas to be Tendered at each Receipt Point(s) during each Day for the upcoming Month and shall advise Lost Creek and its downstream transporter of the volume of Shipper's Gas to be redelivered to Shipper at each Delivery Point(s) during each Day for the upcoming Month ("</w:t>
      </w:r>
      <w:r>
        <w:rPr>
          <w:sz w:val="24"/>
          <w:u w:val="single"/>
        </w:rPr>
        <w:t>Shipper's Nomination</w:t>
      </w:r>
      <w:r>
        <w:rPr>
          <w:sz w:val="24"/>
        </w:rPr>
        <w:t>") and Shipper shall also request that its respective operator(s) and downstream transporter, as applicable, confirm Shipper's Nomination to Lost Creek in accordance with Lost Creek's then current  confirmation procedures; provided however, that if these conflict with the nomination, scheduling and other provisions of this Agreement, the provisions of this Agreement shall prevail.  Lost Creek shall then schedule such operator and downstream transporter confirmed Shipper's Nomination for receipt, Gathering and redelivery hereunder ("</w:t>
      </w:r>
      <w:r>
        <w:rPr>
          <w:sz w:val="24"/>
          <w:u w:val="single"/>
        </w:rPr>
        <w:t>Scheduled Nomination</w:t>
      </w:r>
      <w:r>
        <w:rPr>
          <w:sz w:val="24"/>
        </w:rPr>
        <w:t>").  Shipper shall use commercially reasonable efforts to deliver at the Receipt Point(s) the Scheduled Nomination and receive at the Delivery Point(s) Shipper's Gas (less Shipper's Fuel and L&amp;U) so delivered by Lost Creek in uniform hourly and daily quantities during any Month.  Lost Creek shall have no obligation to accept or redeliver quantities of Gas in excess of the Scheduled Nomination. It is the intent of the parties that receipts and deliveries of Gas hereunder shall remain in balance as near as practicable and the Scheduled Nomination shall be revised each Day to facilitate such balancing.  Any imbalance which may exist from time to time in the quantities of Gas delivered by the respective parties shall be corrected to zero as soon as practicable under normal operating conditions and the parties agree to cooperate reasonably and in good faith to correct such imbalances.</w:t>
      </w:r>
    </w:p>
    <w:p>
      <w:pPr>
        <w:pStyle w:val="Normal"/>
        <w:jc w:val="both"/>
        <w:rPr>
          <w:b/>
          <w:sz w:val="24"/>
          <w:u w:val="single"/>
        </w:rPr>
      </w:pPr>
      <w:r>
        <w:rPr>
          <w:b/>
          <w:sz w:val="24"/>
          <w:u w:val="single"/>
        </w:rPr>
      </w:r>
    </w:p>
    <w:p>
      <w:pPr>
        <w:pStyle w:val="Normal"/>
        <w:numPr>
          <w:ilvl w:val="0"/>
          <w:numId w:val="12"/>
        </w:numPr>
        <w:jc w:val="both"/>
        <w:rPr>
          <w:sz w:val="24"/>
        </w:rPr>
      </w:pPr>
      <w:r>
        <w:rPr>
          <w:b/>
          <w:sz w:val="24"/>
          <w:u w:val="single"/>
        </w:rPr>
        <w:t>Imbalance Cash-Out.</w:t>
      </w:r>
      <w:r>
        <w:rPr>
          <w:b/>
          <w:sz w:val="24"/>
        </w:rPr>
        <w:t xml:space="preserve">  </w:t>
      </w:r>
      <w:r>
        <w:rPr>
          <w:sz w:val="24"/>
        </w:rPr>
        <w:t>If Shipper's imbalance for a Month has not  been corrected within three (3) Months after the Month the imbalance occurred, Lost Creek reserves the option to reduce Shipper's imbalance to zero (0) MMBtu by cash-out in accordance with the following:</w:t>
      </w:r>
    </w:p>
    <w:p>
      <w:pPr>
        <w:pStyle w:val="Normal"/>
        <w:numPr>
          <w:ilvl w:val="0"/>
          <w:numId w:val="0"/>
        </w:numPr>
        <w:ind w:hanging="576" w:start="576" w:end="0"/>
        <w:jc w:val="both"/>
        <w:rPr>
          <w:sz w:val="24"/>
        </w:rPr>
      </w:pPr>
      <w:r>
        <w:rPr>
          <w:sz w:val="24"/>
        </w:rPr>
      </w:r>
    </w:p>
    <w:p>
      <w:pPr>
        <w:pStyle w:val="Normal"/>
        <w:tabs>
          <w:tab w:val="clear" w:pos="720"/>
          <w:tab w:val="left" w:pos="1080" w:leader="none"/>
        </w:tabs>
        <w:ind w:hanging="540" w:start="1080" w:end="0"/>
        <w:jc w:val="both"/>
        <w:rPr>
          <w:sz w:val="24"/>
        </w:rPr>
      </w:pPr>
      <w:r>
        <w:rPr>
          <w:sz w:val="24"/>
        </w:rPr>
        <w:t>A.</w:t>
        <w:tab/>
        <w:t>If the total volume of Shipper's Scheduled Nomination on a Btu basis is greater than the total volume of Shipper's Gas on a Btu basis received by Lost Creek at the Receipt Point(s), Shipper is considered to be underdelivered.  Shipper shall pay Lost Creek for underdelivering one hundred and five percent (105%) of the "Cash-Out Index" described in Section 7.3 for the applicable Month of imbalance as invoiced by Lost Creek plus all fees and charges otherwise applicable hereunder.  Shipper shall pay such invoice pursuant to the Article IV of Appendix attached hereto.</w:t>
      </w:r>
    </w:p>
    <w:p>
      <w:pPr>
        <w:pStyle w:val="Normal"/>
        <w:ind w:hanging="540" w:start="1080" w:end="0"/>
        <w:jc w:val="both"/>
        <w:rPr>
          <w:sz w:val="24"/>
        </w:rPr>
      </w:pPr>
      <w:r>
        <w:rPr>
          <w:sz w:val="24"/>
        </w:rPr>
      </w:r>
    </w:p>
    <w:p>
      <w:pPr>
        <w:pStyle w:val="Normal"/>
        <w:tabs>
          <w:tab w:val="clear" w:pos="720"/>
          <w:tab w:val="left" w:pos="1080" w:leader="none"/>
        </w:tabs>
        <w:ind w:hanging="540" w:start="1080" w:end="0"/>
        <w:jc w:val="both"/>
        <w:rPr>
          <w:sz w:val="24"/>
        </w:rPr>
      </w:pPr>
      <w:r>
        <w:rPr>
          <w:sz w:val="24"/>
        </w:rPr>
        <w:t>B.</w:t>
        <w:tab/>
        <w:t>If the total volume of Shipper's Scheduled Nomination on a Btu basis is less than the total volume of Shipper's Gas on a Btu basis received by Lost Creek at the Receipt Point(s), Shipper is considered to be overdelivered.  Shipper shall receive from Lost Creek for overdelivery ninety-five percent (95%) of the "Cash-Out Index" for the applicable Month of imbalance, less all fees and charges otherwise applicable hereunder.  Lost Creek shall not be responsible for imbalances caused by loss of market by Shipper or for any other reason out of Lost Creek's control wherein Shipper's Gas is not accepted at the Delivery Point(s) by the receiving pipeline for delivery to Shipper by Lost Creek.</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7.3</w:t>
        <w:tab/>
      </w:r>
      <w:r>
        <w:rPr>
          <w:b/>
          <w:sz w:val="24"/>
          <w:u w:val="single"/>
        </w:rPr>
        <w:t>Cash-Out Index.</w:t>
      </w:r>
      <w:r>
        <w:rPr>
          <w:b/>
          <w:sz w:val="24"/>
        </w:rPr>
        <w:t xml:space="preserve">  </w:t>
      </w:r>
      <w:r>
        <w:rPr>
          <w:sz w:val="24"/>
        </w:rPr>
        <w:t xml:space="preserve">The "Cash-Out Index" shall equal the arithmetic average of the spot gas prices published in </w:t>
      </w:r>
      <w:r>
        <w:rPr>
          <w:sz w:val="24"/>
          <w:u w:val="single"/>
        </w:rPr>
        <w:t>Inside FERC Gas Market Report</w:t>
      </w:r>
      <w:r>
        <w:rPr>
          <w:sz w:val="24"/>
        </w:rPr>
        <w:t xml:space="preserve"> , ("</w:t>
      </w:r>
      <w:r>
        <w:rPr>
          <w:sz w:val="24"/>
          <w:u w:val="single"/>
        </w:rPr>
        <w:t>Prices of Spot Gas Delivered to Pipelines</w:t>
      </w:r>
      <w:r>
        <w:rPr>
          <w:sz w:val="24"/>
        </w:rPr>
        <w:t xml:space="preserve">") first posting of the Index Price for Colorado Interstate Gas Company, Rocky Mountains, and from </w:t>
      </w:r>
      <w:r>
        <w:rPr>
          <w:sz w:val="24"/>
          <w:u w:val="single"/>
        </w:rPr>
        <w:t>Natural Gas Week,</w:t>
      </w:r>
      <w:r>
        <w:rPr>
          <w:sz w:val="24"/>
        </w:rPr>
        <w:t xml:space="preserve"> ("</w:t>
      </w:r>
      <w:r>
        <w:rPr>
          <w:sz w:val="24"/>
          <w:u w:val="single"/>
        </w:rPr>
        <w:t>Spot Prices on Interstate Pipeline Systems</w:t>
      </w:r>
      <w:r>
        <w:rPr>
          <w:sz w:val="24"/>
        </w:rPr>
        <w:t>"), monthly average price for Colorado Interstate Gas Company, Rockies.  In the event either of the publications ceases publication or to the extent a publication fails to report spot prices, than Lost Creek reserves the right to substitute prices reported in a similar independent open literature publication or to continue the pricing formula using the remaining publication.  Changes in the name, format or other method of reporting by the aforementioned publications that do not materially affect the content shall not affect their use hereunder.</w:t>
      </w:r>
    </w:p>
    <w:p>
      <w:pPr>
        <w:pStyle w:val="Normal"/>
        <w:jc w:val="both"/>
        <w:rPr>
          <w:sz w:val="24"/>
        </w:rPr>
      </w:pPr>
      <w:r>
        <w:rPr>
          <w:sz w:val="24"/>
        </w:rPr>
      </w:r>
    </w:p>
    <w:p>
      <w:pPr>
        <w:pStyle w:val="Normal"/>
        <w:numPr>
          <w:ilvl w:val="1"/>
          <w:numId w:val="11"/>
        </w:numPr>
        <w:jc w:val="both"/>
        <w:rPr>
          <w:sz w:val="24"/>
        </w:rPr>
      </w:pPr>
      <w:r>
        <w:rPr>
          <w:b/>
          <w:sz w:val="24"/>
          <w:u w:val="single"/>
        </w:rPr>
        <w:t>Terminated Agreements.</w:t>
      </w:r>
      <w:r>
        <w:rPr>
          <w:b/>
          <w:sz w:val="24"/>
        </w:rPr>
        <w:t xml:space="preserve">  </w:t>
      </w:r>
      <w:r>
        <w:rPr>
          <w:sz w:val="24"/>
        </w:rPr>
        <w:t>Any imbalances remaining upon termination of this Agreement shall be reduced to zero (0) by cash-out pursuant to this Article VII within thirty (30) Days following such termination.</w:t>
      </w:r>
    </w:p>
    <w:p>
      <w:pPr>
        <w:pStyle w:val="Normal"/>
        <w:jc w:val="both"/>
        <w:rPr>
          <w:sz w:val="24"/>
        </w:rPr>
      </w:pPr>
      <w:r>
        <w:rPr>
          <w:sz w:val="24"/>
        </w:rPr>
      </w:r>
    </w:p>
    <w:p>
      <w:pPr>
        <w:pStyle w:val="Normal"/>
        <w:keepNext w:val="true"/>
        <w:keepLines/>
        <w:jc w:val="center"/>
        <w:rPr>
          <w:b/>
          <w:sz w:val="24"/>
        </w:rPr>
      </w:pPr>
      <w:r>
        <w:rPr>
          <w:b/>
          <w:sz w:val="24"/>
        </w:rPr>
        <w:t>ARTICLE VIII</w:t>
      </w:r>
    </w:p>
    <w:p>
      <w:pPr>
        <w:pStyle w:val="Normal"/>
        <w:keepNext w:val="true"/>
        <w:keepLines/>
        <w:jc w:val="center"/>
        <w:rPr>
          <w:b/>
          <w:sz w:val="24"/>
        </w:rPr>
      </w:pPr>
      <w:r>
        <w:rPr>
          <w:b/>
          <w:sz w:val="24"/>
          <w:u w:val="single"/>
        </w:rPr>
        <w:t>REGULATORY REQUIREMENTS, CONDITIONS PRECEDENT AND REPRESENTATIONS</w:t>
      </w:r>
    </w:p>
    <w:p>
      <w:pPr>
        <w:pStyle w:val="Normal"/>
        <w:keepNext w:val="true"/>
        <w:keepLines/>
        <w:jc w:val="both"/>
        <w:rPr>
          <w:b/>
          <w:sz w:val="24"/>
        </w:rPr>
      </w:pPr>
      <w:r>
        <w:rPr>
          <w:b/>
          <w:sz w:val="24"/>
        </w:rPr>
      </w:r>
    </w:p>
    <w:p>
      <w:pPr>
        <w:pStyle w:val="Normal"/>
        <w:keepNext w:val="true"/>
        <w:keepLines/>
        <w:ind w:hanging="720" w:start="720" w:end="0"/>
        <w:jc w:val="both"/>
        <w:rPr/>
      </w:pPr>
      <w:r>
        <w:rPr>
          <w:b/>
          <w:sz w:val="24"/>
        </w:rPr>
        <w:t>8.1</w:t>
        <w:tab/>
      </w:r>
      <w:r>
        <w:rPr>
          <w:sz w:val="24"/>
        </w:rPr>
        <w:t>This Agreement and all operations hereunder, are subject to all applicable federal and state laws and the orders, rules and regulations of all federal, state and/or local authorities having jurisdiction.  In addition, if Lost Creek is required to cease Gathering Services provided hereunder until such time as Lost Creek has secured and accepted any and all approvals necessary to enable Lost Creek to provide the Gathering Services described in this Agreement, Lost Creek may do so without liability to Shipper and Shipper's Gas shall be released from this Agreement for so long as Lost Creek is required to cease Gathering Services.  In the event the Federal Energy Regulatory Commission or any successor or other federal or state governmental agency exercises jurisdiction over the services or rates provided for under this Agreement and modifies any term or condition or alters any rate under this Agreement, and either party determines that it is adversely affected in a material manner as a result of such regulatory action, then such affected party shall give written notice to the other party of the same and the parties shall negotiate in good faith to reach a new agreement that preserves, to the greatest extent practicable, the benefits and burdens of this Agreement for each of the parties.  If  within ninety (90) Days after the date of the written notice, the parties are unable to reach a new agreement, then either party may terminate this Agreement by written notice given within thirty (30) Days thereafter.  Shipper represents and warrants that Gas delivered has been produced from reserves which are not dedicated or committed to interstate commerce, and has not been commingled at any point upstream from the Receipt Point(s) with other Gas which may be sold, consumed, transported or otherwise utilized in interstate commerce in such a manner as will subject the Gathering Facilities or any portion thereof, to the jurisdiction of the Federal Energy Regulatory Commission or any successor authority under the Natural Gas Act.  Shipper represents and warrants that Shipper will take no affirmative action, directly or indirectly, that would be designed to subject the Gathering Services or any portion thereof to the jurisdiction of the Federal Energy Regulatory Commission or any successor authority under the Natural Gas Act.  Delivery of Gas hereunder shall not constitute such an action.  Shipper shall indemnify, defend and hold harmless Lost Creek from any and all loss, cost, expense and Claims arising from or out of a breach of the representations and warranties contained in this paragraph. "Claims" shall mean any and all actions, suits, penalties, claims and demands and reasonable out-of-pocket liabilities, losses, costs and expenses (including, without limitation, reasonable attorney's fees and expenses) of any nature whatsoever</w:t>
      </w:r>
      <w:r>
        <w:rPr>
          <w:b/>
          <w:caps/>
          <w:sz w:val="24"/>
        </w:rPr>
        <w:t xml:space="preserve"> AND FOR PURPOSES OF THIS SECTION 8.1 SHALL INCLUDE special, consequential, incidental, punitive, exemplary AND/OR indirect damages AND LOST PROFITS</w:t>
      </w:r>
      <w:r>
        <w:rPr>
          <w:sz w:val="24"/>
        </w:rPr>
        <w:t>.</w:t>
      </w:r>
    </w:p>
    <w:p>
      <w:pPr>
        <w:pStyle w:val="Normal"/>
        <w:ind w:hanging="720" w:start="720" w:end="0"/>
        <w:jc w:val="both"/>
        <w:rPr>
          <w:sz w:val="24"/>
        </w:rPr>
      </w:pPr>
      <w:r>
        <w:rPr>
          <w:sz w:val="24"/>
        </w:rPr>
      </w:r>
    </w:p>
    <w:p>
      <w:pPr>
        <w:pStyle w:val="Normal"/>
        <w:jc w:val="center"/>
        <w:rPr>
          <w:b/>
          <w:sz w:val="24"/>
        </w:rPr>
      </w:pPr>
      <w:r>
        <w:rPr>
          <w:b/>
          <w:sz w:val="24"/>
        </w:rPr>
        <w:t>ARTICLE IX</w:t>
      </w:r>
    </w:p>
    <w:p>
      <w:pPr>
        <w:pStyle w:val="Normal"/>
        <w:jc w:val="center"/>
        <w:rPr>
          <w:b/>
          <w:sz w:val="24"/>
          <w:u w:val="single"/>
        </w:rPr>
      </w:pPr>
      <w:r>
        <w:rPr>
          <w:b/>
          <w:sz w:val="24"/>
          <w:u w:val="single"/>
        </w:rPr>
        <w:t>NOTICES</w:t>
      </w:r>
    </w:p>
    <w:p>
      <w:pPr>
        <w:pStyle w:val="Normal"/>
        <w:jc w:val="both"/>
        <w:rPr>
          <w:b/>
          <w:sz w:val="24"/>
          <w:u w:val="single"/>
        </w:rPr>
      </w:pPr>
      <w:r>
        <w:rPr>
          <w:b/>
          <w:sz w:val="24"/>
          <w:u w:val="single"/>
        </w:rPr>
      </w:r>
    </w:p>
    <w:p>
      <w:pPr>
        <w:pStyle w:val="Normal"/>
        <w:ind w:hanging="720" w:start="720" w:end="0"/>
        <w:jc w:val="both"/>
        <w:rPr/>
      </w:pPr>
      <w:r>
        <w:rPr>
          <w:b/>
          <w:sz w:val="24"/>
        </w:rPr>
        <w:t>9.1</w:t>
        <w:tab/>
      </w:r>
      <w:r>
        <w:rPr>
          <w:b/>
          <w:sz w:val="24"/>
          <w:u w:val="single"/>
        </w:rPr>
        <w:t>Contractual Notices.</w:t>
      </w:r>
      <w:r>
        <w:rPr>
          <w:sz w:val="24"/>
        </w:rPr>
        <w:t xml:space="preserve">  Any notice, request, statement, correspondence, payment or demand that either party is required or may make to the other respecting this Agreement shall be in writing and shall be mailed, telefaxed or delivered in hand to the following address of the other party:</w:t>
      </w:r>
    </w:p>
    <w:p>
      <w:pPr>
        <w:pStyle w:val="Normal"/>
        <w:numPr>
          <w:ilvl w:val="0"/>
          <w:numId w:val="0"/>
        </w:numPr>
        <w:ind w:hanging="576" w:start="576" w:end="0"/>
        <w:jc w:val="both"/>
        <w:rPr>
          <w:sz w:val="24"/>
        </w:rPr>
      </w:pPr>
      <w:r>
        <w:rPr>
          <w:sz w:val="24"/>
        </w:rPr>
      </w:r>
    </w:p>
    <w:tbl>
      <w:tblPr>
        <w:tblW w:w="8928" w:type="dxa"/>
        <w:jc w:val="start"/>
        <w:tblInd w:w="648" w:type="dxa"/>
        <w:tblLayout w:type="fixed"/>
        <w:tblCellMar>
          <w:top w:w="0" w:type="dxa"/>
          <w:start w:w="108" w:type="dxa"/>
          <w:bottom w:w="0" w:type="dxa"/>
          <w:end w:w="108" w:type="dxa"/>
        </w:tblCellMar>
      </w:tblPr>
      <w:tblGrid>
        <w:gridCol w:w="2794"/>
        <w:gridCol w:w="1526"/>
        <w:gridCol w:w="288"/>
        <w:gridCol w:w="2794"/>
        <w:gridCol w:w="1526"/>
      </w:tblGrid>
      <w:tr>
        <w:trPr/>
        <w:tc>
          <w:tcPr>
            <w:tcW w:w="2794" w:type="dxa"/>
            <w:tcBorders/>
          </w:tcPr>
          <w:p>
            <w:pPr>
              <w:pStyle w:val="Normal"/>
              <w:rPr>
                <w:sz w:val="24"/>
              </w:rPr>
            </w:pPr>
            <w:r>
              <w:rPr>
                <w:b/>
                <w:sz w:val="24"/>
              </w:rPr>
              <w:t>Lost Creek:</w:t>
            </w:r>
          </w:p>
        </w:tc>
        <w:tc>
          <w:tcPr>
            <w:tcW w:w="1814" w:type="dxa"/>
            <w:gridSpan w:val="2"/>
            <w:tcBorders/>
          </w:tcPr>
          <w:p>
            <w:pPr>
              <w:pStyle w:val="Normal"/>
              <w:snapToGrid w:val="false"/>
              <w:rPr>
                <w:sz w:val="24"/>
              </w:rPr>
            </w:pPr>
            <w:r>
              <w:rPr>
                <w:sz w:val="24"/>
              </w:rPr>
            </w:r>
          </w:p>
        </w:tc>
        <w:tc>
          <w:tcPr>
            <w:tcW w:w="2794" w:type="dxa"/>
            <w:tcBorders/>
          </w:tcPr>
          <w:p>
            <w:pPr>
              <w:pStyle w:val="Normal"/>
              <w:rPr>
                <w:sz w:val="24"/>
              </w:rPr>
            </w:pPr>
            <w:r>
              <w:rPr>
                <w:b/>
                <w:sz w:val="24"/>
              </w:rPr>
              <w:t>SHIPPER:</w:t>
            </w:r>
          </w:p>
        </w:tc>
        <w:tc>
          <w:tcPr>
            <w:tcW w:w="1526" w:type="dxa"/>
            <w:tcBorders/>
            <w:tcMar>
              <w:start w:w="0" w:type="dxa"/>
              <w:end w:w="0" w:type="dxa"/>
            </w:tcMar>
          </w:tcPr>
          <w:p>
            <w:pPr>
              <w:pStyle w:val="Normal"/>
              <w:snapToGrid w:val="false"/>
              <w:rPr>
                <w:sz w:val="24"/>
              </w:rPr>
            </w:pPr>
            <w:r>
              <w:rPr>
                <w:sz w:val="24"/>
              </w:rPr>
            </w:r>
          </w:p>
        </w:tc>
      </w:tr>
      <w:tr>
        <w:trPr/>
        <w:tc>
          <w:tcPr>
            <w:tcW w:w="4320" w:type="dxa"/>
            <w:gridSpan w:val="2"/>
            <w:tcBorders/>
          </w:tcPr>
          <w:p>
            <w:pPr>
              <w:pStyle w:val="Normal"/>
              <w:spacing w:before="120" w:after="120"/>
              <w:rPr>
                <w:sz w:val="24"/>
              </w:rPr>
            </w:pPr>
            <w:r>
              <w:rPr>
                <w:b/>
                <w:sz w:val="24"/>
              </w:rPr>
              <w:t>NOTICES:</w:t>
            </w:r>
          </w:p>
        </w:tc>
        <w:tc>
          <w:tcPr>
            <w:tcW w:w="288" w:type="dxa"/>
            <w:tcBorders/>
          </w:tcPr>
          <w:p>
            <w:pPr>
              <w:pStyle w:val="Normal"/>
              <w:snapToGrid w:val="false"/>
              <w:spacing w:before="120" w:after="120"/>
              <w:rPr>
                <w:sz w:val="24"/>
              </w:rPr>
            </w:pPr>
            <w:r>
              <w:rPr>
                <w:sz w:val="24"/>
              </w:rPr>
            </w:r>
          </w:p>
        </w:tc>
        <w:tc>
          <w:tcPr>
            <w:tcW w:w="4320" w:type="dxa"/>
            <w:gridSpan w:val="2"/>
            <w:tcBorders/>
          </w:tcPr>
          <w:p>
            <w:pPr>
              <w:pStyle w:val="Normal"/>
              <w:spacing w:before="120" w:after="120"/>
              <w:rPr>
                <w:sz w:val="24"/>
              </w:rPr>
            </w:pPr>
            <w:r>
              <w:rPr>
                <w:b/>
                <w:sz w:val="24"/>
              </w:rPr>
              <w:t>NOTICES:</w:t>
            </w:r>
          </w:p>
        </w:tc>
      </w:tr>
      <w:tr>
        <w:trPr/>
        <w:tc>
          <w:tcPr>
            <w:tcW w:w="4320" w:type="dxa"/>
            <w:gridSpan w:val="2"/>
            <w:tcBorders/>
          </w:tcPr>
          <w:p>
            <w:pPr>
              <w:pStyle w:val="Normal"/>
              <w:rPr>
                <w:sz w:val="24"/>
              </w:rPr>
            </w:pPr>
            <w:r>
              <w:rPr>
                <w:sz w:val="24"/>
              </w:rPr>
              <w:t>LOST CREEK GATHERING COMPANY, L.L.C.</w:t>
            </w:r>
          </w:p>
          <w:p>
            <w:pPr>
              <w:pStyle w:val="Normal"/>
              <w:rPr/>
            </w:pPr>
            <w:r>
              <w:rPr>
                <w:sz w:val="24"/>
              </w:rPr>
              <w:t>1200 17</w:t>
            </w:r>
            <w:r>
              <w:rPr>
                <w:sz w:val="24"/>
                <w:vertAlign w:val="superscript"/>
              </w:rPr>
              <w:t>TH</w:t>
            </w:r>
            <w:r>
              <w:rPr>
                <w:sz w:val="24"/>
              </w:rPr>
              <w:t xml:space="preserve"> Street, Suite 2750</w:t>
            </w:r>
          </w:p>
          <w:p>
            <w:pPr>
              <w:pStyle w:val="Normal"/>
              <w:rPr>
                <w:sz w:val="24"/>
              </w:rPr>
            </w:pPr>
            <w:r>
              <w:rPr>
                <w:sz w:val="24"/>
              </w:rPr>
              <w:t>Denver, Colorado  80202</w:t>
            </w:r>
          </w:p>
          <w:p>
            <w:pPr>
              <w:pStyle w:val="Normal"/>
              <w:rPr>
                <w:sz w:val="24"/>
              </w:rPr>
            </w:pPr>
            <w:r>
              <w:rPr>
                <w:sz w:val="24"/>
              </w:rPr>
              <w:t>Attention:  Manager, Gas Gathering</w:t>
            </w:r>
          </w:p>
          <w:p>
            <w:pPr>
              <w:pStyle w:val="Normal"/>
              <w:rPr>
                <w:sz w:val="24"/>
              </w:rPr>
            </w:pPr>
            <w:r>
              <w:rPr>
                <w:sz w:val="24"/>
              </w:rPr>
              <w:t>Office: (888) 328-5171</w:t>
            </w:r>
          </w:p>
          <w:p>
            <w:pPr>
              <w:pStyle w:val="Normal"/>
              <w:rPr>
                <w:sz w:val="24"/>
              </w:rPr>
            </w:pPr>
            <w:r>
              <w:rPr>
                <w:sz w:val="24"/>
              </w:rPr>
              <w:t>Facsimile: (303) 534-0552</w:t>
            </w:r>
          </w:p>
        </w:tc>
        <w:tc>
          <w:tcPr>
            <w:tcW w:w="288" w:type="dxa"/>
            <w:tcBorders/>
          </w:tcPr>
          <w:p>
            <w:pPr>
              <w:pStyle w:val="Normal"/>
              <w:snapToGrid w:val="false"/>
              <w:rPr>
                <w:sz w:val="24"/>
              </w:rPr>
            </w:pPr>
            <w:r>
              <w:rPr>
                <w:sz w:val="24"/>
              </w:rPr>
            </w:r>
          </w:p>
        </w:tc>
        <w:tc>
          <w:tcPr>
            <w:tcW w:w="4320" w:type="dxa"/>
            <w:gridSpan w:val="2"/>
            <w:tcBorders/>
          </w:tcPr>
          <w:p>
            <w:pPr>
              <w:pStyle w:val="Normal"/>
              <w:rPr>
                <w:sz w:val="24"/>
              </w:rPr>
            </w:pPr>
            <w:r>
              <w:rPr>
                <w:sz w:val="24"/>
              </w:rPr>
              <w:t>NORTH CENTRAL OIL CORPORATION</w:t>
            </w:r>
          </w:p>
          <w:p>
            <w:pPr>
              <w:pStyle w:val="Normal"/>
              <w:rPr>
                <w:sz w:val="24"/>
              </w:rPr>
            </w:pPr>
            <w:r>
              <w:rPr>
                <w:sz w:val="24"/>
              </w:rPr>
              <w:t>6001 Savoy, Suite 600</w:t>
            </w:r>
          </w:p>
          <w:p>
            <w:pPr>
              <w:pStyle w:val="Normal"/>
              <w:rPr>
                <w:sz w:val="24"/>
              </w:rPr>
            </w:pPr>
            <w:r>
              <w:rPr>
                <w:sz w:val="24"/>
              </w:rPr>
              <w:t>Houston, Texas  77036</w:t>
            </w:r>
          </w:p>
          <w:p>
            <w:pPr>
              <w:pStyle w:val="Normal"/>
              <w:rPr>
                <w:sz w:val="24"/>
              </w:rPr>
            </w:pPr>
            <w:r>
              <w:rPr>
                <w:sz w:val="24"/>
              </w:rPr>
              <w:t>Attention: Mark Sprung</w:t>
            </w:r>
          </w:p>
          <w:p>
            <w:pPr>
              <w:pStyle w:val="Normal"/>
              <w:rPr>
                <w:sz w:val="24"/>
              </w:rPr>
            </w:pPr>
            <w:r>
              <w:rPr>
                <w:sz w:val="24"/>
              </w:rPr>
              <w:t>Office: 713-974-4600</w:t>
            </w:r>
          </w:p>
          <w:p>
            <w:pPr>
              <w:pStyle w:val="Normal"/>
              <w:rPr>
                <w:sz w:val="24"/>
              </w:rPr>
            </w:pPr>
            <w:r>
              <w:rPr>
                <w:sz w:val="24"/>
              </w:rPr>
              <w:t>Facsimile: 713-974-7345</w:t>
            </w:r>
          </w:p>
        </w:tc>
      </w:tr>
    </w:tbl>
    <w:p>
      <w:pPr>
        <w:pStyle w:val="Normal"/>
        <w:rPr>
          <w:sz w:val="24"/>
        </w:rPr>
      </w:pPr>
      <w:r>
        <w:rPr>
          <w:sz w:val="24"/>
        </w:rPr>
      </w:r>
    </w:p>
    <w:tbl>
      <w:tblPr>
        <w:tblW w:w="8928" w:type="dxa"/>
        <w:jc w:val="start"/>
        <w:tblInd w:w="648" w:type="dxa"/>
        <w:tblLayout w:type="fixed"/>
        <w:tblCellMar>
          <w:top w:w="0" w:type="dxa"/>
          <w:start w:w="108" w:type="dxa"/>
          <w:bottom w:w="0" w:type="dxa"/>
          <w:end w:w="108" w:type="dxa"/>
        </w:tblCellMar>
      </w:tblPr>
      <w:tblGrid>
        <w:gridCol w:w="4320"/>
        <w:gridCol w:w="288"/>
        <w:gridCol w:w="4320"/>
      </w:tblGrid>
      <w:tr>
        <w:trPr/>
        <w:tc>
          <w:tcPr>
            <w:tcW w:w="4320" w:type="dxa"/>
            <w:tcBorders/>
          </w:tcPr>
          <w:p>
            <w:pPr>
              <w:pStyle w:val="Normal"/>
              <w:spacing w:before="120" w:after="120"/>
              <w:rPr>
                <w:sz w:val="24"/>
              </w:rPr>
            </w:pPr>
            <w:r>
              <w:rPr>
                <w:b/>
                <w:sz w:val="24"/>
              </w:rPr>
              <w:t>REMIT PAYMENT TO:</w:t>
            </w:r>
          </w:p>
        </w:tc>
        <w:tc>
          <w:tcPr>
            <w:tcW w:w="288" w:type="dxa"/>
            <w:tcBorders/>
          </w:tcPr>
          <w:p>
            <w:pPr>
              <w:pStyle w:val="Normal"/>
              <w:snapToGrid w:val="false"/>
              <w:spacing w:before="120" w:after="120"/>
              <w:rPr>
                <w:sz w:val="24"/>
              </w:rPr>
            </w:pPr>
            <w:r>
              <w:rPr>
                <w:sz w:val="24"/>
              </w:rPr>
            </w:r>
          </w:p>
        </w:tc>
        <w:tc>
          <w:tcPr>
            <w:tcW w:w="4320" w:type="dxa"/>
            <w:tcBorders/>
          </w:tcPr>
          <w:p>
            <w:pPr>
              <w:pStyle w:val="Normal"/>
              <w:spacing w:before="120" w:after="120"/>
              <w:rPr>
                <w:sz w:val="24"/>
              </w:rPr>
            </w:pPr>
            <w:r>
              <w:rPr>
                <w:b/>
                <w:sz w:val="24"/>
              </w:rPr>
              <w:t>SUBMIT INVOICE TO:</w:t>
            </w:r>
          </w:p>
        </w:tc>
      </w:tr>
      <w:tr>
        <w:trPr/>
        <w:tc>
          <w:tcPr>
            <w:tcW w:w="4320" w:type="dxa"/>
            <w:tcBorders/>
          </w:tcPr>
          <w:p>
            <w:pPr>
              <w:pStyle w:val="Normal"/>
              <w:rPr>
                <w:sz w:val="24"/>
              </w:rPr>
            </w:pPr>
            <w:r>
              <w:rPr>
                <w:sz w:val="24"/>
              </w:rPr>
              <w:t>LOST CREEK GATHERING COMPANY, L.L.C.</w:t>
            </w:r>
          </w:p>
          <w:p>
            <w:pPr>
              <w:pStyle w:val="Footer"/>
              <w:tabs>
                <w:tab w:val="clear" w:pos="4320"/>
                <w:tab w:val="clear" w:pos="8640"/>
              </w:tabs>
              <w:rPr/>
            </w:pPr>
            <w:r>
              <w:rPr/>
              <w:t>WIRING INSTRUCTIONS</w:t>
            </w:r>
          </w:p>
          <w:p>
            <w:pPr>
              <w:pStyle w:val="Normal"/>
              <w:rPr>
                <w:sz w:val="24"/>
              </w:rPr>
            </w:pPr>
            <w:r>
              <w:rPr>
                <w:sz w:val="24"/>
              </w:rPr>
              <w:t>TO BE PROVIDED BY LOST CREEK</w:t>
            </w:r>
          </w:p>
        </w:tc>
        <w:tc>
          <w:tcPr>
            <w:tcW w:w="288" w:type="dxa"/>
            <w:tcBorders/>
          </w:tcPr>
          <w:p>
            <w:pPr>
              <w:pStyle w:val="Normal"/>
              <w:snapToGrid w:val="false"/>
              <w:rPr>
                <w:sz w:val="24"/>
              </w:rPr>
            </w:pPr>
            <w:r>
              <w:rPr>
                <w:sz w:val="24"/>
              </w:rPr>
            </w:r>
          </w:p>
        </w:tc>
        <w:tc>
          <w:tcPr>
            <w:tcW w:w="4320" w:type="dxa"/>
            <w:tcBorders/>
          </w:tcPr>
          <w:p>
            <w:pPr>
              <w:pStyle w:val="Normal"/>
              <w:rPr>
                <w:sz w:val="24"/>
              </w:rPr>
            </w:pPr>
            <w:r>
              <w:rPr>
                <w:sz w:val="24"/>
              </w:rPr>
              <w:t>NORTH CENTRAL OIL CORPORATION</w:t>
            </w:r>
          </w:p>
          <w:p>
            <w:pPr>
              <w:pStyle w:val="Normal"/>
              <w:rPr>
                <w:sz w:val="24"/>
              </w:rPr>
            </w:pPr>
            <w:r>
              <w:rPr>
                <w:sz w:val="24"/>
              </w:rPr>
              <w:t>6001 Savoy, Suite 600</w:t>
            </w:r>
          </w:p>
          <w:p>
            <w:pPr>
              <w:pStyle w:val="Normal"/>
              <w:rPr>
                <w:sz w:val="24"/>
              </w:rPr>
            </w:pPr>
            <w:r>
              <w:rPr>
                <w:sz w:val="24"/>
              </w:rPr>
              <w:t>Houston, Texas  77036</w:t>
            </w:r>
          </w:p>
          <w:p>
            <w:pPr>
              <w:pStyle w:val="Normal"/>
              <w:rPr>
                <w:sz w:val="24"/>
              </w:rPr>
            </w:pPr>
            <w:r>
              <w:rPr>
                <w:sz w:val="24"/>
              </w:rPr>
              <w:t>Attention: Revenue Accounting</w:t>
            </w:r>
          </w:p>
        </w:tc>
      </w:tr>
    </w:tbl>
    <w:p>
      <w:pPr>
        <w:pStyle w:val="Normal"/>
        <w:numPr>
          <w:ilvl w:val="0"/>
          <w:numId w:val="0"/>
        </w:numPr>
        <w:ind w:hanging="576" w:start="576" w:end="0"/>
        <w:jc w:val="both"/>
        <w:rPr>
          <w:sz w:val="24"/>
        </w:rPr>
      </w:pPr>
      <w:r>
        <w:rPr>
          <w:sz w:val="24"/>
        </w:rPr>
      </w:r>
    </w:p>
    <w:p>
      <w:pPr>
        <w:pStyle w:val="Normal"/>
        <w:numPr>
          <w:ilvl w:val="0"/>
          <w:numId w:val="0"/>
        </w:numPr>
        <w:ind w:hanging="576" w:start="576" w:end="0"/>
        <w:jc w:val="both"/>
        <w:rPr>
          <w:sz w:val="24"/>
        </w:rPr>
      </w:pPr>
      <w:r>
        <w:rPr>
          <w:sz w:val="24"/>
        </w:rPr>
        <w:tab/>
        <w:t>or to such other address as a party shall designate by formal written notice.</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9.2</w:t>
        <w:tab/>
      </w:r>
      <w:r>
        <w:rPr>
          <w:b/>
          <w:sz w:val="24"/>
          <w:u w:val="single"/>
        </w:rPr>
        <w:t>Operational Communications.</w:t>
      </w:r>
      <w:r>
        <w:rPr>
          <w:sz w:val="24"/>
        </w:rPr>
        <w:t xml:space="preserve">  Operating communications by telephone or other mutually agreeable means shall be considered as duly made and delivered provided that such communications are made directly and not via voicemail and subsequent written notice is sent, within seven (7) Days of such communication and shall be made to the following contacts:</w:t>
      </w:r>
    </w:p>
    <w:p>
      <w:pPr>
        <w:pStyle w:val="Normal"/>
        <w:numPr>
          <w:ilvl w:val="0"/>
          <w:numId w:val="0"/>
        </w:numPr>
        <w:ind w:hanging="576" w:start="576" w:end="0"/>
        <w:jc w:val="both"/>
        <w:rPr>
          <w:sz w:val="24"/>
        </w:rPr>
      </w:pPr>
      <w:r>
        <w:rPr>
          <w:sz w:val="24"/>
        </w:rPr>
      </w:r>
    </w:p>
    <w:tbl>
      <w:tblPr>
        <w:tblW w:w="8928" w:type="dxa"/>
        <w:jc w:val="start"/>
        <w:tblInd w:w="648" w:type="dxa"/>
        <w:tblLayout w:type="fixed"/>
        <w:tblCellMar>
          <w:top w:w="0" w:type="dxa"/>
          <w:start w:w="108" w:type="dxa"/>
          <w:bottom w:w="0" w:type="dxa"/>
          <w:end w:w="108" w:type="dxa"/>
        </w:tblCellMar>
      </w:tblPr>
      <w:tblGrid>
        <w:gridCol w:w="4320"/>
        <w:gridCol w:w="288"/>
        <w:gridCol w:w="4320"/>
      </w:tblGrid>
      <w:tr>
        <w:trPr/>
        <w:tc>
          <w:tcPr>
            <w:tcW w:w="4320" w:type="dxa"/>
            <w:tcBorders/>
          </w:tcPr>
          <w:p>
            <w:pPr>
              <w:pStyle w:val="Normal"/>
              <w:spacing w:before="0" w:after="120"/>
              <w:rPr>
                <w:sz w:val="24"/>
              </w:rPr>
            </w:pPr>
            <w:r>
              <w:rPr>
                <w:b/>
                <w:sz w:val="24"/>
              </w:rPr>
              <w:t>Lost Creek:</w:t>
            </w:r>
          </w:p>
        </w:tc>
        <w:tc>
          <w:tcPr>
            <w:tcW w:w="288" w:type="dxa"/>
            <w:tcBorders/>
          </w:tcPr>
          <w:p>
            <w:pPr>
              <w:pStyle w:val="Normal"/>
              <w:snapToGrid w:val="false"/>
              <w:spacing w:before="0" w:after="120"/>
              <w:rPr>
                <w:sz w:val="24"/>
              </w:rPr>
            </w:pPr>
            <w:r>
              <w:rPr>
                <w:sz w:val="24"/>
              </w:rPr>
            </w:r>
          </w:p>
        </w:tc>
        <w:tc>
          <w:tcPr>
            <w:tcW w:w="4320" w:type="dxa"/>
            <w:tcBorders/>
          </w:tcPr>
          <w:p>
            <w:pPr>
              <w:pStyle w:val="Normal"/>
              <w:spacing w:before="0" w:after="120"/>
              <w:rPr>
                <w:sz w:val="24"/>
              </w:rPr>
            </w:pPr>
            <w:r>
              <w:rPr>
                <w:b/>
                <w:sz w:val="24"/>
              </w:rPr>
              <w:t>SHIPPER:</w:t>
            </w:r>
          </w:p>
        </w:tc>
      </w:tr>
      <w:tr>
        <w:trPr/>
        <w:tc>
          <w:tcPr>
            <w:tcW w:w="4320" w:type="dxa"/>
            <w:tcBorders/>
          </w:tcPr>
          <w:p>
            <w:pPr>
              <w:pStyle w:val="Normal"/>
              <w:rPr>
                <w:sz w:val="24"/>
              </w:rPr>
            </w:pPr>
            <w:r>
              <w:rPr>
                <w:sz w:val="24"/>
              </w:rPr>
              <w:t>LOST CREEK GATHERING COMPANY, L.L.C.</w:t>
            </w:r>
          </w:p>
          <w:p>
            <w:pPr>
              <w:pStyle w:val="Normal"/>
              <w:rPr/>
            </w:pPr>
            <w:r>
              <w:rPr>
                <w:sz w:val="24"/>
              </w:rPr>
              <w:t>1200 17</w:t>
            </w:r>
            <w:r>
              <w:rPr>
                <w:sz w:val="24"/>
                <w:vertAlign w:val="superscript"/>
              </w:rPr>
              <w:t>TH</w:t>
            </w:r>
            <w:r>
              <w:rPr>
                <w:sz w:val="24"/>
              </w:rPr>
              <w:t xml:space="preserve"> Street, Suite 2750</w:t>
            </w:r>
          </w:p>
          <w:p>
            <w:pPr>
              <w:pStyle w:val="Normal"/>
              <w:rPr>
                <w:sz w:val="24"/>
              </w:rPr>
            </w:pPr>
            <w:r>
              <w:rPr>
                <w:sz w:val="24"/>
              </w:rPr>
              <w:t>Denver, Colorado  80202</w:t>
            </w:r>
          </w:p>
          <w:p>
            <w:pPr>
              <w:pStyle w:val="Normal"/>
              <w:rPr>
                <w:sz w:val="24"/>
              </w:rPr>
            </w:pPr>
            <w:r>
              <w:rPr>
                <w:sz w:val="24"/>
              </w:rPr>
              <w:t>Attention:  Manager, Gas Gathering</w:t>
            </w:r>
          </w:p>
          <w:p>
            <w:pPr>
              <w:pStyle w:val="Normal"/>
              <w:rPr>
                <w:sz w:val="24"/>
              </w:rPr>
            </w:pPr>
            <w:r>
              <w:rPr>
                <w:sz w:val="24"/>
              </w:rPr>
              <w:t>Office: (888) 328-5171</w:t>
            </w:r>
          </w:p>
          <w:p>
            <w:pPr>
              <w:pStyle w:val="Normal"/>
              <w:rPr>
                <w:sz w:val="24"/>
              </w:rPr>
            </w:pPr>
            <w:r>
              <w:rPr>
                <w:sz w:val="24"/>
              </w:rPr>
              <w:t>Facsimile: (303) 534-0552</w:t>
            </w:r>
          </w:p>
        </w:tc>
        <w:tc>
          <w:tcPr>
            <w:tcW w:w="288" w:type="dxa"/>
            <w:tcBorders/>
          </w:tcPr>
          <w:p>
            <w:pPr>
              <w:pStyle w:val="Normal"/>
              <w:snapToGrid w:val="false"/>
              <w:rPr>
                <w:sz w:val="24"/>
              </w:rPr>
            </w:pPr>
            <w:r>
              <w:rPr>
                <w:sz w:val="24"/>
              </w:rPr>
            </w:r>
          </w:p>
        </w:tc>
        <w:tc>
          <w:tcPr>
            <w:tcW w:w="4320" w:type="dxa"/>
            <w:tcBorders/>
          </w:tcPr>
          <w:p>
            <w:pPr>
              <w:pStyle w:val="Normal"/>
              <w:rPr>
                <w:sz w:val="24"/>
              </w:rPr>
            </w:pPr>
            <w:r>
              <w:rPr>
                <w:sz w:val="24"/>
              </w:rPr>
              <w:t>NORTH CENTRAL OIL CORPORATION</w:t>
            </w:r>
          </w:p>
          <w:p>
            <w:pPr>
              <w:pStyle w:val="Normal"/>
              <w:rPr>
                <w:sz w:val="24"/>
              </w:rPr>
            </w:pPr>
            <w:r>
              <w:rPr>
                <w:sz w:val="24"/>
              </w:rPr>
              <w:t>6001 Savoy, Suite 600</w:t>
            </w:r>
          </w:p>
          <w:p>
            <w:pPr>
              <w:pStyle w:val="Normal"/>
              <w:rPr>
                <w:sz w:val="24"/>
              </w:rPr>
            </w:pPr>
            <w:r>
              <w:rPr>
                <w:sz w:val="24"/>
              </w:rPr>
              <w:t>Houston, Texas  77036</w:t>
            </w:r>
          </w:p>
          <w:p>
            <w:pPr>
              <w:pStyle w:val="Normal"/>
              <w:rPr>
                <w:sz w:val="24"/>
              </w:rPr>
            </w:pPr>
            <w:r>
              <w:rPr>
                <w:sz w:val="24"/>
              </w:rPr>
              <w:t>Attention: Mark Sprung</w:t>
            </w:r>
          </w:p>
          <w:p>
            <w:pPr>
              <w:pStyle w:val="Normal"/>
              <w:rPr>
                <w:sz w:val="24"/>
              </w:rPr>
            </w:pPr>
            <w:r>
              <w:rPr>
                <w:sz w:val="24"/>
              </w:rPr>
              <w:t>Office: 713-974-4600</w:t>
            </w:r>
          </w:p>
          <w:p>
            <w:pPr>
              <w:pStyle w:val="Normal"/>
              <w:rPr>
                <w:sz w:val="24"/>
              </w:rPr>
            </w:pPr>
            <w:r>
              <w:rPr>
                <w:sz w:val="24"/>
              </w:rPr>
              <w:t>Facsimile: 713-974-7345</w:t>
            </w:r>
          </w:p>
        </w:tc>
      </w:tr>
    </w:tbl>
    <w:p>
      <w:pPr>
        <w:pStyle w:val="Normal"/>
        <w:jc w:val="both"/>
        <w:rPr>
          <w:sz w:val="24"/>
        </w:rPr>
      </w:pPr>
      <w:r>
        <w:rPr>
          <w:sz w:val="24"/>
        </w:rPr>
        <w:tab/>
      </w:r>
    </w:p>
    <w:p>
      <w:pPr>
        <w:pStyle w:val="Normal"/>
        <w:jc w:val="center"/>
        <w:rPr>
          <w:sz w:val="24"/>
        </w:rPr>
      </w:pPr>
      <w:r>
        <w:rPr>
          <w:sz w:val="24"/>
        </w:rPr>
      </w:r>
    </w:p>
    <w:p>
      <w:pPr>
        <w:pStyle w:val="Normal"/>
        <w:keepNext w:val="true"/>
        <w:keepLines/>
        <w:jc w:val="center"/>
        <w:rPr>
          <w:b/>
          <w:sz w:val="24"/>
        </w:rPr>
      </w:pPr>
      <w:r>
        <w:rPr>
          <w:b/>
          <w:sz w:val="24"/>
        </w:rPr>
        <w:t>ARTICLE X</w:t>
      </w:r>
    </w:p>
    <w:p>
      <w:pPr>
        <w:pStyle w:val="Normal"/>
        <w:keepNext w:val="true"/>
        <w:keepLines/>
        <w:jc w:val="center"/>
        <w:rPr>
          <w:b/>
          <w:sz w:val="24"/>
          <w:u w:val="single"/>
        </w:rPr>
      </w:pPr>
      <w:r>
        <w:rPr>
          <w:b/>
          <w:sz w:val="24"/>
          <w:u w:val="single"/>
        </w:rPr>
        <w:t>RIGHTS OF WAY</w:t>
      </w:r>
    </w:p>
    <w:p>
      <w:pPr>
        <w:pStyle w:val="Normal"/>
        <w:keepNext w:val="true"/>
        <w:keepLines/>
        <w:jc w:val="center"/>
        <w:rPr>
          <w:b/>
          <w:sz w:val="24"/>
          <w:u w:val="single"/>
        </w:rPr>
      </w:pPr>
      <w:r>
        <w:rPr>
          <w:b/>
          <w:sz w:val="24"/>
          <w:u w:val="single"/>
        </w:rPr>
      </w:r>
    </w:p>
    <w:p>
      <w:pPr>
        <w:pStyle w:val="Normal"/>
        <w:keepNext w:val="true"/>
        <w:keepLines/>
        <w:ind w:hanging="540" w:start="540" w:end="0"/>
        <w:jc w:val="both"/>
        <w:rPr/>
      </w:pPr>
      <w:r>
        <w:rPr>
          <w:b/>
          <w:sz w:val="24"/>
        </w:rPr>
        <w:t>10.1</w:t>
        <w:tab/>
      </w:r>
      <w:r>
        <w:rPr>
          <w:sz w:val="24"/>
        </w:rPr>
        <w:t>Shipper hereby grants to Lost Creek, insofar as Shipper has the right to do so, all requisite easements and rights-of-way over and across the premises covered in the Reserve Commitment Area, with full right of ingress and egress, for the purpose of carrying out the duties and terms of this Agreement and Lost Creek's obligations thereunder.  To the extent Shipper's leases or other agreements permit, Shipper hereby grants to Lost Creek the right to lay and maintain pipelines and to install any necessary equipment on said lease and shall have the right to free entry for any purpose incidental to the performance of its obligations hereunder.  All pipelines, meters and other equipment placed by Lost Creek on said lands shall remain the property of Lost Creek and may be removed by Lost Creek at any time.  Shipper and Lost Creek shall memorialize the grants contained in this paragraph by execution of a mutually agreeable recordable easement and/or right of way agreement.</w:t>
      </w:r>
    </w:p>
    <w:p>
      <w:pPr>
        <w:pStyle w:val="Normal"/>
        <w:jc w:val="center"/>
        <w:rPr>
          <w:b/>
          <w:sz w:val="24"/>
        </w:rPr>
      </w:pPr>
      <w:r>
        <w:rPr>
          <w:b/>
          <w:sz w:val="24"/>
        </w:rPr>
      </w:r>
    </w:p>
    <w:p>
      <w:pPr>
        <w:pStyle w:val="Normal"/>
        <w:jc w:val="center"/>
        <w:rPr>
          <w:b/>
          <w:sz w:val="24"/>
        </w:rPr>
      </w:pPr>
      <w:r>
        <w:rPr>
          <w:b/>
          <w:sz w:val="24"/>
        </w:rPr>
        <w:t>ARTICLE XI</w:t>
      </w:r>
    </w:p>
    <w:p>
      <w:pPr>
        <w:pStyle w:val="Normal"/>
        <w:jc w:val="center"/>
        <w:rPr>
          <w:b/>
          <w:sz w:val="24"/>
          <w:u w:val="single"/>
        </w:rPr>
      </w:pPr>
      <w:r>
        <w:rPr>
          <w:b/>
          <w:sz w:val="24"/>
          <w:u w:val="single"/>
        </w:rPr>
        <w:t>MISCELLANEOUS</w:t>
      </w:r>
    </w:p>
    <w:p>
      <w:pPr>
        <w:pStyle w:val="Normal"/>
        <w:jc w:val="both"/>
        <w:rPr>
          <w:b/>
          <w:sz w:val="24"/>
          <w:u w:val="single"/>
        </w:rPr>
      </w:pPr>
      <w:r>
        <w:rPr>
          <w:b/>
          <w:sz w:val="24"/>
          <w:u w:val="single"/>
        </w:rPr>
      </w:r>
    </w:p>
    <w:p>
      <w:pPr>
        <w:pStyle w:val="Normal"/>
        <w:ind w:hanging="720" w:start="720" w:end="0"/>
        <w:jc w:val="both"/>
        <w:rPr/>
      </w:pPr>
      <w:r>
        <w:rPr>
          <w:b/>
          <w:sz w:val="24"/>
        </w:rPr>
        <w:t>11.1</w:t>
        <w:tab/>
      </w:r>
      <w:r>
        <w:rPr>
          <w:b/>
          <w:sz w:val="24"/>
          <w:u w:val="single"/>
        </w:rPr>
        <w:t>Recovered Substances.</w:t>
      </w:r>
      <w:r>
        <w:rPr>
          <w:b/>
          <w:sz w:val="24"/>
        </w:rPr>
        <w:t xml:space="preserve">  </w:t>
      </w:r>
      <w:r>
        <w:rPr>
          <w:sz w:val="24"/>
        </w:rPr>
        <w:t>Unless otherwise provided, all substances, whether or not of commercial value including all liquid hydrocarbons of whatever nature, that Lost Creek recovers in the course of Gathering the quantities of Gas Tendered hereunder by Shipper shall be Lost Creek's sole property and Lost Creek shall not be obligated to account to Shipper for any value, whether or not realized by Lost Creek, that may attach or be said to attach to such substances.</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11.2</w:t>
        <w:tab/>
      </w:r>
      <w:r>
        <w:rPr>
          <w:b/>
          <w:sz w:val="24"/>
          <w:u w:val="single"/>
        </w:rPr>
        <w:t>Incorporation by Reference.</w:t>
      </w:r>
      <w:r>
        <w:rPr>
          <w:b/>
          <w:sz w:val="24"/>
        </w:rPr>
        <w:t xml:space="preserve">  </w:t>
      </w:r>
      <w:r>
        <w:rPr>
          <w:sz w:val="24"/>
        </w:rPr>
        <w:t>Exhibits "A", "B", "C" and "D" and the Appendix attached to this Agreement, are hereby incorporated by reference as part of this Agreement.  The parties may amend such Exhibits and Appendix by mutual agreement, which amendments shall be reflected in a revised Exhibit or Appendix and shall be incorporated by reference as part of this Agreement.</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11.3</w:t>
        <w:tab/>
      </w:r>
      <w:r>
        <w:rPr>
          <w:b/>
          <w:sz w:val="24"/>
          <w:u w:val="single"/>
        </w:rPr>
        <w:t>Title.</w:t>
      </w:r>
      <w:r>
        <w:rPr>
          <w:b/>
          <w:sz w:val="24"/>
        </w:rPr>
        <w:t xml:space="preserve">  </w:t>
      </w:r>
      <w:r>
        <w:rPr>
          <w:sz w:val="24"/>
        </w:rPr>
        <w:t>Shipper hereby warrants title to Shipper's Gas to be Gathered hereunder and that it has the right to have such Shipper's Gas so Gathered.  Possession, control and risk of loss to or damage by Shipper's Gas Gathered hereunder shall pass from Shipper to Lost Creek at the Receipt Point(s) and to Shipper from Lost Creek at the Delivery Point(s).</w:t>
      </w:r>
    </w:p>
    <w:p>
      <w:pPr>
        <w:pStyle w:val="Normal"/>
        <w:numPr>
          <w:ilvl w:val="0"/>
          <w:numId w:val="0"/>
        </w:numPr>
        <w:ind w:hanging="576" w:start="576" w:end="0"/>
        <w:jc w:val="both"/>
        <w:rPr>
          <w:sz w:val="24"/>
        </w:rPr>
      </w:pPr>
      <w:r>
        <w:rPr>
          <w:sz w:val="24"/>
        </w:rPr>
      </w:r>
    </w:p>
    <w:p>
      <w:pPr>
        <w:pStyle w:val="Normal"/>
        <w:numPr>
          <w:ilvl w:val="1"/>
          <w:numId w:val="14"/>
        </w:numPr>
        <w:jc w:val="both"/>
        <w:rPr>
          <w:b/>
          <w:sz w:val="24"/>
        </w:rPr>
      </w:pPr>
      <w:r>
        <w:rPr>
          <w:b/>
          <w:sz w:val="24"/>
          <w:u w:val="single"/>
        </w:rPr>
        <w:t>Assignment.</w:t>
      </w:r>
      <w:r>
        <w:rPr>
          <w:b/>
          <w:sz w:val="24"/>
        </w:rPr>
        <w:t xml:space="preserve">  </w:t>
      </w:r>
    </w:p>
    <w:p>
      <w:pPr>
        <w:pStyle w:val="Normal"/>
        <w:jc w:val="both"/>
        <w:rPr>
          <w:b/>
          <w:sz w:val="24"/>
        </w:rPr>
      </w:pPr>
      <w:r>
        <w:rPr>
          <w:b/>
          <w:sz w:val="24"/>
        </w:rPr>
      </w:r>
    </w:p>
    <w:p>
      <w:pPr>
        <w:pStyle w:val="Normal"/>
        <w:numPr>
          <w:ilvl w:val="0"/>
          <w:numId w:val="19"/>
        </w:numPr>
        <w:jc w:val="both"/>
        <w:rPr>
          <w:sz w:val="24"/>
        </w:rPr>
      </w:pPr>
      <w:r>
        <w:rPr>
          <w:sz w:val="24"/>
        </w:rPr>
        <w:t>Subject to 11.4(d) below, Shipper may without the prior written consent of Lost Creek, (i) Assign the whole or a portion of its rights and obligations under this Agreement to an Affiliate; or (ii) Assign its interest in the Committed Reserves and this Agreement together to an assignee who fully ratifies and agrees to be bound by this Agreement, provided however in each instance such Assignment shall not release Shipper from its obligations under this Agreement unless Lost Creek consents in writing to such Assignment, such consent not to be unreasonably withheld or delayed.  In the absence of such written consent, Shipper shall be jointly and severally liable with its assignee hereunder for all such obligations.</w:t>
      </w:r>
    </w:p>
    <w:p>
      <w:pPr>
        <w:pStyle w:val="Normal"/>
        <w:ind w:start="720" w:end="0"/>
        <w:jc w:val="both"/>
        <w:rPr>
          <w:sz w:val="24"/>
        </w:rPr>
      </w:pPr>
      <w:r>
        <w:rPr>
          <w:sz w:val="24"/>
        </w:rPr>
      </w:r>
    </w:p>
    <w:p>
      <w:pPr>
        <w:pStyle w:val="Normal"/>
        <w:numPr>
          <w:ilvl w:val="0"/>
          <w:numId w:val="19"/>
        </w:numPr>
        <w:jc w:val="both"/>
        <w:rPr>
          <w:sz w:val="24"/>
        </w:rPr>
      </w:pPr>
      <w:r>
        <w:rPr>
          <w:sz w:val="24"/>
        </w:rPr>
        <w:t>Lost Creek may without the prior written consent of Shipper, (i) Assign the whole or a portion of its rights and obligations under this Agreement to an Affiliate; or (ii) Assign its interest in the Lost Creek System and this Agreement together to an assignee who fully ratifies and agrees to be bound by this Agreement, provided however in each instance such Assignment shall not release Lost Creek from its obligations under this Agreement unless Shipper consents in writing to such Assignment, such consent not to be unreasonably withheld or delayed. In the absence of such written consent, Lost Creek shall be jointly and severally liable with its assignee hereunder for all such obligations.</w:t>
      </w:r>
    </w:p>
    <w:p>
      <w:pPr>
        <w:pStyle w:val="Normal"/>
        <w:ind w:start="720" w:end="0"/>
        <w:jc w:val="both"/>
        <w:rPr>
          <w:sz w:val="24"/>
        </w:rPr>
      </w:pPr>
      <w:r>
        <w:rPr>
          <w:sz w:val="24"/>
        </w:rPr>
      </w:r>
    </w:p>
    <w:p>
      <w:pPr>
        <w:pStyle w:val="Normal"/>
        <w:numPr>
          <w:ilvl w:val="0"/>
          <w:numId w:val="19"/>
        </w:numPr>
        <w:jc w:val="both"/>
        <w:rPr>
          <w:sz w:val="24"/>
        </w:rPr>
      </w:pPr>
      <w:r>
        <w:rPr>
          <w:sz w:val="24"/>
        </w:rPr>
        <w:t xml:space="preserve">Except as set forth immediately above, a party may not Assign the whole or any part of its rights hereunder without the written consent of the other party, such consent not to be unreasonably withheld or delayed.  </w:t>
      </w:r>
    </w:p>
    <w:p>
      <w:pPr>
        <w:pStyle w:val="Normal"/>
        <w:jc w:val="both"/>
        <w:rPr>
          <w:sz w:val="24"/>
        </w:rPr>
      </w:pPr>
      <w:r>
        <w:rPr>
          <w:sz w:val="24"/>
        </w:rPr>
      </w:r>
    </w:p>
    <w:p>
      <w:pPr>
        <w:pStyle w:val="Normal"/>
        <w:numPr>
          <w:ilvl w:val="0"/>
          <w:numId w:val="19"/>
        </w:numPr>
        <w:jc w:val="both"/>
        <w:rPr>
          <w:sz w:val="24"/>
        </w:rPr>
      </w:pPr>
      <w:r>
        <w:rPr>
          <w:sz w:val="24"/>
        </w:rPr>
        <w:t xml:space="preserve">Notwithstanding anything provided herein, any Assignment of the Committed Reserves shall be in conjunction with an Assignment of this Agreement to an assignee who fully ratifies and agrees to be bound by this Agreement. </w:t>
      </w:r>
    </w:p>
    <w:p>
      <w:pPr>
        <w:pStyle w:val="Normal"/>
        <w:ind w:start="720" w:end="0"/>
        <w:jc w:val="both"/>
        <w:rPr>
          <w:sz w:val="24"/>
        </w:rPr>
      </w:pPr>
      <w:r>
        <w:rPr>
          <w:sz w:val="24"/>
        </w:rPr>
      </w:r>
    </w:p>
    <w:p>
      <w:pPr>
        <w:pStyle w:val="Normal"/>
        <w:numPr>
          <w:ilvl w:val="0"/>
          <w:numId w:val="19"/>
        </w:numPr>
        <w:jc w:val="both"/>
        <w:rPr>
          <w:sz w:val="24"/>
        </w:rPr>
      </w:pPr>
      <w:r>
        <w:rPr>
          <w:sz w:val="24"/>
        </w:rPr>
        <w:t xml:space="preserve">Lost Creek hereby consents to the Assignment of all or a portion of this Agreement to Enron North America Corp. or an Affiliate thereof. </w:t>
      </w:r>
    </w:p>
    <w:p>
      <w:pPr>
        <w:pStyle w:val="Normal"/>
        <w:jc w:val="both"/>
        <w:rPr>
          <w:sz w:val="24"/>
        </w:rPr>
      </w:pPr>
      <w:r>
        <w:rPr>
          <w:sz w:val="24"/>
        </w:rPr>
      </w:r>
    </w:p>
    <w:p>
      <w:pPr>
        <w:pStyle w:val="Normal"/>
        <w:numPr>
          <w:ilvl w:val="0"/>
          <w:numId w:val="19"/>
        </w:numPr>
        <w:jc w:val="both"/>
        <w:rPr>
          <w:sz w:val="24"/>
        </w:rPr>
      </w:pPr>
      <w:r>
        <w:rPr>
          <w:sz w:val="24"/>
        </w:rPr>
        <w:t>Notice of any Assignment must be provided by the assigning party to the non- assigning party within 7 Days thereof.</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11.5</w:t>
        <w:tab/>
      </w:r>
      <w:r>
        <w:rPr>
          <w:b/>
          <w:sz w:val="24"/>
          <w:u w:val="single"/>
        </w:rPr>
        <w:t>Agreement of the Parties.</w:t>
      </w:r>
      <w:r>
        <w:rPr>
          <w:b/>
          <w:sz w:val="24"/>
        </w:rPr>
        <w:t xml:space="preserve">  </w:t>
      </w:r>
      <w:r>
        <w:rPr>
          <w:sz w:val="24"/>
        </w:rPr>
        <w:t>This Agreement contains the entire agreement between the parties concerning the subject matter hereof and this Agreement may not be amended except by a written document executed by both parties.</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11.6</w:t>
        <w:tab/>
      </w:r>
      <w:r>
        <w:rPr>
          <w:b/>
          <w:sz w:val="24"/>
          <w:u w:val="single"/>
        </w:rPr>
        <w:t>Waiver.</w:t>
      </w:r>
      <w:r>
        <w:rPr>
          <w:sz w:val="24"/>
        </w:rPr>
        <w:t xml:space="preserve">  A waiver by either party of any one or more defaults by the other party hereunder shall not operate or be construed as a waiver of any other existing or future default or defaults, whether of a like or of a different character.</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11.7</w:t>
        <w:tab/>
      </w:r>
      <w:r>
        <w:rPr>
          <w:b/>
          <w:sz w:val="24"/>
          <w:u w:val="single"/>
        </w:rPr>
        <w:t>Counterparts</w:t>
      </w:r>
      <w:r>
        <w:rPr>
          <w:sz w:val="24"/>
        </w:rPr>
        <w:t>.  This Agreement may be executed in any number of counterparts.</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11.8</w:t>
        <w:tab/>
      </w:r>
      <w:r>
        <w:rPr>
          <w:b/>
          <w:sz w:val="24"/>
          <w:u w:val="single"/>
        </w:rPr>
        <w:t>Confidentiality.</w:t>
      </w:r>
      <w:r>
        <w:rPr>
          <w:sz w:val="24"/>
        </w:rPr>
        <w:t xml:space="preserve">  Except with respect to the filing of the Notice of Gas Gathering Agreement, Shipper and Lost Creek, and their respective employees, agents, officers, directors, and attorneys shall keep the terms of this Agreement confidential.  However, either party may disclose the terms of this Agreement, without prior permission of the other party, to the following persons in the following circumstances:</w:t>
      </w:r>
    </w:p>
    <w:p>
      <w:pPr>
        <w:pStyle w:val="Normal"/>
        <w:numPr>
          <w:ilvl w:val="0"/>
          <w:numId w:val="0"/>
        </w:numPr>
        <w:ind w:hanging="576" w:start="576" w:end="0"/>
        <w:jc w:val="both"/>
        <w:rPr>
          <w:b/>
          <w:sz w:val="24"/>
        </w:rPr>
      </w:pPr>
      <w:r>
        <w:rPr>
          <w:b/>
          <w:sz w:val="24"/>
        </w:rPr>
      </w:r>
    </w:p>
    <w:p>
      <w:pPr>
        <w:pStyle w:val="Normal"/>
        <w:numPr>
          <w:ilvl w:val="0"/>
          <w:numId w:val="13"/>
        </w:numPr>
        <w:jc w:val="both"/>
        <w:rPr>
          <w:sz w:val="24"/>
        </w:rPr>
      </w:pPr>
      <w:r>
        <w:rPr>
          <w:sz w:val="24"/>
        </w:rPr>
        <w:t>To financial institutions requiring such disclosure as a condition precedent to making or renewing a loan.</w:t>
      </w:r>
    </w:p>
    <w:p>
      <w:pPr>
        <w:pStyle w:val="Normal"/>
        <w:numPr>
          <w:ilvl w:val="0"/>
          <w:numId w:val="0"/>
        </w:numPr>
        <w:ind w:hanging="360" w:start="900" w:end="0"/>
        <w:jc w:val="both"/>
        <w:rPr>
          <w:sz w:val="24"/>
        </w:rPr>
      </w:pPr>
      <w:r>
        <w:rPr>
          <w:sz w:val="24"/>
        </w:rPr>
      </w:r>
    </w:p>
    <w:p>
      <w:pPr>
        <w:pStyle w:val="Normal"/>
        <w:numPr>
          <w:ilvl w:val="0"/>
          <w:numId w:val="13"/>
        </w:numPr>
        <w:jc w:val="both"/>
        <w:rPr>
          <w:sz w:val="24"/>
        </w:rPr>
      </w:pPr>
      <w:r>
        <w:rPr>
          <w:sz w:val="24"/>
        </w:rPr>
        <w:t>To regulatory bodies including taxing authorities with jurisdiction over part or all of the subject matter of this Agreement and to the other persons to whom disclosure is required by such regulatory bodies.</w:t>
      </w:r>
    </w:p>
    <w:p>
      <w:pPr>
        <w:pStyle w:val="Normal"/>
        <w:numPr>
          <w:ilvl w:val="0"/>
          <w:numId w:val="0"/>
        </w:numPr>
        <w:ind w:hanging="360" w:start="900" w:end="0"/>
        <w:jc w:val="both"/>
        <w:rPr>
          <w:sz w:val="24"/>
        </w:rPr>
      </w:pPr>
      <w:r>
        <w:rPr>
          <w:sz w:val="24"/>
        </w:rPr>
      </w:r>
    </w:p>
    <w:p>
      <w:pPr>
        <w:pStyle w:val="Normal"/>
        <w:numPr>
          <w:ilvl w:val="0"/>
          <w:numId w:val="13"/>
        </w:numPr>
        <w:jc w:val="both"/>
        <w:rPr>
          <w:sz w:val="24"/>
        </w:rPr>
      </w:pPr>
      <w:r>
        <w:rPr>
          <w:sz w:val="24"/>
        </w:rPr>
        <w:t>To courts or other tribunals having jurisdiction and requiring such disclosure, and to the other persons to whom disclosure is required by such courts or other tribunals.</w:t>
      </w:r>
    </w:p>
    <w:p>
      <w:pPr>
        <w:pStyle w:val="Normal"/>
        <w:numPr>
          <w:ilvl w:val="0"/>
          <w:numId w:val="0"/>
        </w:numPr>
        <w:ind w:hanging="360" w:start="900" w:end="0"/>
        <w:jc w:val="both"/>
        <w:rPr>
          <w:sz w:val="24"/>
        </w:rPr>
      </w:pPr>
      <w:r>
        <w:rPr>
          <w:sz w:val="24"/>
        </w:rPr>
      </w:r>
    </w:p>
    <w:p>
      <w:pPr>
        <w:pStyle w:val="Normal"/>
        <w:numPr>
          <w:ilvl w:val="0"/>
          <w:numId w:val="13"/>
        </w:numPr>
        <w:jc w:val="both"/>
        <w:rPr>
          <w:sz w:val="24"/>
        </w:rPr>
      </w:pPr>
      <w:r>
        <w:rPr>
          <w:sz w:val="24"/>
        </w:rPr>
        <w:t>To independent certified public accountants for purposes of obtaining a financial audit.</w:t>
      </w:r>
    </w:p>
    <w:p>
      <w:pPr>
        <w:pStyle w:val="Normal"/>
        <w:numPr>
          <w:ilvl w:val="0"/>
          <w:numId w:val="0"/>
        </w:numPr>
        <w:ind w:hanging="360" w:start="900" w:end="0"/>
        <w:jc w:val="both"/>
        <w:rPr>
          <w:sz w:val="24"/>
        </w:rPr>
      </w:pPr>
      <w:r>
        <w:rPr>
          <w:sz w:val="24"/>
        </w:rPr>
      </w:r>
    </w:p>
    <w:p>
      <w:pPr>
        <w:pStyle w:val="Normal"/>
        <w:numPr>
          <w:ilvl w:val="0"/>
          <w:numId w:val="13"/>
        </w:numPr>
        <w:jc w:val="both"/>
        <w:rPr>
          <w:sz w:val="24"/>
        </w:rPr>
      </w:pPr>
      <w:r>
        <w:rPr>
          <w:sz w:val="24"/>
        </w:rPr>
        <w:t>As required by subpoena or other legal discovery processes.</w:t>
      </w:r>
    </w:p>
    <w:p>
      <w:pPr>
        <w:pStyle w:val="Normal"/>
        <w:jc w:val="both"/>
        <w:rPr>
          <w:sz w:val="24"/>
        </w:rPr>
      </w:pPr>
      <w:r>
        <w:rPr>
          <w:sz w:val="24"/>
        </w:rPr>
      </w:r>
    </w:p>
    <w:p>
      <w:pPr>
        <w:pStyle w:val="Normal"/>
        <w:numPr>
          <w:ilvl w:val="0"/>
          <w:numId w:val="13"/>
        </w:numPr>
        <w:jc w:val="both"/>
        <w:rPr>
          <w:sz w:val="24"/>
        </w:rPr>
      </w:pPr>
      <w:r>
        <w:rPr>
          <w:sz w:val="24"/>
        </w:rPr>
        <w:t>To engineering consultants who have agreed to keep such terms confidential.</w:t>
      </w:r>
    </w:p>
    <w:p>
      <w:pPr>
        <w:pStyle w:val="Normal"/>
        <w:numPr>
          <w:ilvl w:val="0"/>
          <w:numId w:val="0"/>
        </w:numPr>
        <w:ind w:hanging="360" w:start="900" w:end="0"/>
        <w:jc w:val="both"/>
        <w:rPr>
          <w:sz w:val="24"/>
        </w:rPr>
      </w:pPr>
      <w:r>
        <w:rPr>
          <w:sz w:val="24"/>
        </w:rPr>
      </w:r>
    </w:p>
    <w:p>
      <w:pPr>
        <w:pStyle w:val="Normal"/>
        <w:numPr>
          <w:ilvl w:val="0"/>
          <w:numId w:val="13"/>
        </w:numPr>
        <w:jc w:val="both"/>
        <w:rPr>
          <w:sz w:val="24"/>
        </w:rPr>
      </w:pPr>
      <w:r>
        <w:rPr>
          <w:sz w:val="24"/>
        </w:rPr>
        <w:t>Under no circumstances shall any documents memorializing the substance of this Agreement be disclosed or released to any other third parties, including any newspaper, magazine or other publication, absent the mutual written agreement of Lost Creek and Shipper.</w:t>
      </w:r>
    </w:p>
    <w:p>
      <w:pPr>
        <w:pStyle w:val="Normal"/>
        <w:numPr>
          <w:ilvl w:val="0"/>
          <w:numId w:val="0"/>
        </w:numPr>
        <w:ind w:hanging="0" w:start="0"/>
        <w:jc w:val="both"/>
        <w:rPr>
          <w:b/>
          <w:sz w:val="24"/>
        </w:rPr>
      </w:pPr>
      <w:r>
        <w:rPr>
          <w:b/>
          <w:sz w:val="24"/>
        </w:rPr>
      </w:r>
    </w:p>
    <w:p>
      <w:pPr>
        <w:pStyle w:val="Normal"/>
        <w:ind w:hanging="540" w:start="540" w:end="0"/>
        <w:jc w:val="both"/>
        <w:rPr/>
      </w:pPr>
      <w:r>
        <w:rPr>
          <w:b/>
          <w:sz w:val="24"/>
        </w:rPr>
        <w:t>11.9</w:t>
        <w:tab/>
      </w:r>
      <w:r>
        <w:rPr>
          <w:b/>
          <w:sz w:val="24"/>
          <w:u w:val="single"/>
        </w:rPr>
        <w:t>Imposed Penalties</w:t>
      </w:r>
      <w:r>
        <w:rPr>
          <w:b/>
          <w:sz w:val="24"/>
        </w:rPr>
        <w:t xml:space="preserve">.  </w:t>
      </w:r>
      <w:r>
        <w:rPr>
          <w:sz w:val="24"/>
        </w:rPr>
        <w:t>If, in accordance with its applicable FERC or state approved transportation tariff, any penalty, fine or other fees are imposed upon Lost Creek by the downstream receiving pipeline(s) into which Lost Creek is delivering Shipper's Gas due to any imbalance or operational flow order which may occur as a result of the difference between the total volume of Shipper's Gas specified in Scheduled Nominations for Gathering from all of Shipper's Receipt Points and the total volume of Shipper's Gas actually delivered at the Delivery Point(s) by Lost Creek in any Month of production, then Shipper agrees to reimburse Lost Creek for one hundred percent (100%) of such penalties, fines or fees.  Shipper shall not be responsible for such imposed penalties, fines or fees if an imbalance is caused by Lost Creek's failure to perform in accordance with the terms of this Agreement.</w:t>
      </w:r>
    </w:p>
    <w:p>
      <w:pPr>
        <w:pStyle w:val="Normal"/>
        <w:jc w:val="both"/>
        <w:rPr>
          <w:sz w:val="24"/>
        </w:rPr>
      </w:pPr>
      <w:r>
        <w:rPr>
          <w:sz w:val="24"/>
        </w:rPr>
      </w:r>
    </w:p>
    <w:p>
      <w:pPr>
        <w:pStyle w:val="Normal"/>
        <w:ind w:hanging="720" w:start="720" w:end="0"/>
        <w:jc w:val="both"/>
        <w:rPr/>
      </w:pPr>
      <w:r>
        <w:rPr>
          <w:b/>
          <w:sz w:val="24"/>
        </w:rPr>
        <w:t>11.10</w:t>
        <w:tab/>
      </w:r>
      <w:r>
        <w:rPr>
          <w:b/>
          <w:sz w:val="24"/>
          <w:u w:val="single"/>
        </w:rPr>
        <w:t>Arbitration</w:t>
      </w:r>
      <w:r>
        <w:rPr>
          <w:sz w:val="24"/>
        </w:rPr>
        <w:t>.  All claims, demands, causes of action, disputes, and other matters arising out of or relating hereto, whether arising in contract, tort, or otherwise, shall be resolved by binding arbitration pursuant to the Federal Arbitration Act.  The arbitration shall be administered by the American Arbitration Association ("</w:t>
      </w:r>
      <w:r>
        <w:rPr>
          <w:sz w:val="24"/>
          <w:u w:val="single"/>
        </w:rPr>
        <w:t>AAA</w:t>
      </w:r>
      <w:r>
        <w:rPr>
          <w:sz w:val="24"/>
        </w:rPr>
        <w:t>") and shall be conducted in Houston, Texas.  Shipper and Lost Creek shall each designate an arbitrator, who need not be impartial, within thirty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4"/>
        </w:rPr>
      </w:pPr>
      <w:r>
        <w:rPr>
          <w:sz w:val="24"/>
        </w:rPr>
      </w:r>
    </w:p>
    <w:p>
      <w:pPr>
        <w:pStyle w:val="Normal"/>
        <w:ind w:hanging="720" w:start="720" w:end="0"/>
        <w:jc w:val="both"/>
        <w:rPr/>
      </w:pPr>
      <w:r>
        <w:rPr>
          <w:b/>
          <w:sz w:val="24"/>
        </w:rPr>
        <w:t>11.11</w:t>
        <w:tab/>
      </w:r>
      <w:r>
        <w:rPr>
          <w:b/>
          <w:sz w:val="24"/>
          <w:u w:val="single"/>
        </w:rPr>
        <w:t>Notice of Gathering Services Agreement</w:t>
      </w:r>
      <w:r>
        <w:rPr>
          <w:sz w:val="24"/>
        </w:rPr>
        <w:t xml:space="preserve">.  The parties agree to execute and file a Notice of Gas Gathering Agreement in the form attached hereto as </w:t>
      </w:r>
      <w:r>
        <w:rPr>
          <w:sz w:val="24"/>
          <w:u w:val="single"/>
        </w:rPr>
        <w:t>Exhibit "D</w:t>
      </w:r>
      <w:r>
        <w:rPr>
          <w:sz w:val="24"/>
        </w:rPr>
        <w:t>".</w:t>
      </w:r>
    </w:p>
    <w:p>
      <w:pPr>
        <w:pStyle w:val="Normal"/>
        <w:jc w:val="both"/>
        <w:rPr>
          <w:sz w:val="24"/>
        </w:rPr>
      </w:pPr>
      <w:r>
        <w:rPr>
          <w:sz w:val="24"/>
        </w:rPr>
      </w:r>
    </w:p>
    <w:p>
      <w:pPr>
        <w:pStyle w:val="Normal"/>
        <w:keepNext w:val="true"/>
        <w:keepLines/>
        <w:jc w:val="center"/>
        <w:rPr>
          <w:b/>
          <w:sz w:val="24"/>
        </w:rPr>
      </w:pPr>
      <w:r>
        <w:rPr>
          <w:b/>
          <w:sz w:val="24"/>
        </w:rPr>
        <w:t>ARTICLE XII</w:t>
      </w:r>
    </w:p>
    <w:p>
      <w:pPr>
        <w:pStyle w:val="Normal"/>
        <w:keepNext w:val="true"/>
        <w:keepLines/>
        <w:jc w:val="center"/>
        <w:rPr>
          <w:b/>
          <w:sz w:val="24"/>
          <w:u w:val="single"/>
        </w:rPr>
      </w:pPr>
      <w:r>
        <w:rPr>
          <w:b/>
          <w:sz w:val="24"/>
          <w:u w:val="single"/>
        </w:rPr>
        <w:t>FORCE MAJEURE</w:t>
      </w:r>
    </w:p>
    <w:p>
      <w:pPr>
        <w:pStyle w:val="Normal"/>
        <w:keepNext w:val="true"/>
        <w:keepLines/>
        <w:jc w:val="center"/>
        <w:rPr>
          <w:b/>
          <w:sz w:val="24"/>
          <w:u w:val="single"/>
        </w:rPr>
      </w:pPr>
      <w:r>
        <w:rPr>
          <w:b/>
          <w:sz w:val="24"/>
          <w:u w:val="single"/>
        </w:rPr>
      </w:r>
    </w:p>
    <w:p>
      <w:pPr>
        <w:pStyle w:val="Normal"/>
        <w:keepNext w:val="true"/>
        <w:keepLines/>
        <w:ind w:hanging="720" w:start="720" w:end="0"/>
        <w:jc w:val="both"/>
        <w:rPr/>
      </w:pPr>
      <w:r>
        <w:rPr>
          <w:b/>
          <w:sz w:val="24"/>
        </w:rPr>
        <w:t>12.1</w:t>
        <w:tab/>
      </w:r>
      <w:r>
        <w:rPr>
          <w:sz w:val="24"/>
        </w:rPr>
        <w:t>Definition.  The term "Force Majeure" as used herein shall mean acts of God, strikes, lockouts or other industrial disturbances, acts of the public enemy, wars, blockades, insurrections, riots, epidemics, landslides, lightning, earthquakes, fires, storm, storm warnings, floods, washouts, arrests and restraints of governments and people, interruptions by government or court orders, present and future valid rules, regulations, orders, or decisions of any governmental authority having jurisdiction, civil disturbances, explosions, breakage or accident to machinery or lines of pipe, freezing of wells or lines of pipe, the inability of either party to acquire, or delays on the part of such party in acquiring, at reasonable cost and by the exercise of reasonable diligence, servitudes, rights-of-way, grants (excluding any servitudes, rights-of-way or grants obtained from Shipper hereunder), permits, permissions, licenses, materials or supplies which are required to enable such party to fulfill its obligations hereunder, or other causes, whether of the kind herein enumerated or otherwise, not within the control of the party claiming suspension and which, by the exercise of reasonable diligence, such party is unable to prevent or overcome. To the extent that any servitudes, rights of way, grants, permissions, licenses, or permits necessary for the Gathering Service have not been obtained for the Lost Creek System (as it exists on the Lost Creek In Service Date) by the Lost Creek In Service Date, the failure to obtain the same shall not be a event of  Force Majeure under the terms hereof.  Failure due to an occurrence of a Year 2000 problem relating to computer systems software or equipment owned, leased or licensed by Lost Creek, or a service provider to Lost Creek, shall be deemed an event of Force Majeure hereunder.</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12.2</w:t>
        <w:tab/>
      </w:r>
      <w:r>
        <w:rPr>
          <w:b/>
          <w:sz w:val="24"/>
          <w:u w:val="single"/>
        </w:rPr>
        <w:t>Suspended Obligations.</w:t>
      </w:r>
      <w:r>
        <w:rPr>
          <w:sz w:val="24"/>
        </w:rPr>
        <w:t xml:space="preserve">  In the event either party hereto is rendered unable, wholly or in part, by Force Majeure, to carry out its obligations under this Agreement, other than to make payments accrued hereunder, it is agreed that, the obligations of the parties, so far as they are affected by such Force Majeure, shall be suspended during the continuance of any Force Majeure.</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12.3</w:t>
        <w:tab/>
      </w:r>
      <w:r>
        <w:rPr>
          <w:b/>
          <w:sz w:val="24"/>
          <w:u w:val="single"/>
        </w:rPr>
        <w:t>Notice and Reasonable Settlement Efforts.</w:t>
      </w:r>
      <w:r>
        <w:rPr>
          <w:sz w:val="24"/>
        </w:rPr>
        <w:t xml:space="preserve">  The party claiming Force Majeure will give notice of same to the other party within three (3) Days of the event of Force Majeure indicating the cause of Force Majeure and the estimated time of such Force Majeure.  A party claiming Force Majeure will use reasonable efforts to remedy any inability to perform due to Force Majeure and to avoid delay or the failure in the performance of this Agreement.  It is understood and agreed that the settlement of strikes or lockouts shall be entirely within the discretion of the party affected and that the above requirement shall not require the settlement of strikes or lockouts by acceding to the demands of the opposing party when such course is inadvisable in the discretion of the party affected.</w:t>
      </w:r>
    </w:p>
    <w:p>
      <w:pPr>
        <w:pStyle w:val="Normal"/>
        <w:jc w:val="both"/>
        <w:rPr>
          <w:sz w:val="24"/>
        </w:rPr>
      </w:pPr>
      <w:r>
        <w:rPr>
          <w:sz w:val="24"/>
        </w:rPr>
      </w:r>
    </w:p>
    <w:p>
      <w:pPr>
        <w:pStyle w:val="Normal"/>
        <w:keepNext w:val="true"/>
        <w:keepLines/>
        <w:jc w:val="center"/>
        <w:rPr>
          <w:b/>
          <w:sz w:val="24"/>
        </w:rPr>
      </w:pPr>
      <w:r>
        <w:rPr>
          <w:b/>
          <w:sz w:val="24"/>
        </w:rPr>
        <w:t>ARTICLE XIII</w:t>
      </w:r>
    </w:p>
    <w:p>
      <w:pPr>
        <w:pStyle w:val="Normal"/>
        <w:keepNext w:val="true"/>
        <w:keepLines/>
        <w:jc w:val="center"/>
        <w:rPr>
          <w:b/>
          <w:sz w:val="24"/>
          <w:u w:val="single"/>
        </w:rPr>
      </w:pPr>
      <w:r>
        <w:rPr>
          <w:b/>
          <w:sz w:val="24"/>
          <w:u w:val="single"/>
        </w:rPr>
        <w:t>LIMITATION OF LIABILITY AND</w:t>
      </w:r>
    </w:p>
    <w:p>
      <w:pPr>
        <w:pStyle w:val="Normal"/>
        <w:keepNext w:val="true"/>
        <w:keepLines/>
        <w:jc w:val="center"/>
        <w:rPr>
          <w:b/>
          <w:sz w:val="24"/>
          <w:u w:val="single"/>
        </w:rPr>
      </w:pPr>
      <w:r>
        <w:rPr>
          <w:b/>
          <w:sz w:val="24"/>
          <w:u w:val="single"/>
        </w:rPr>
        <w:t>INDEMNIFICATION</w:t>
      </w:r>
    </w:p>
    <w:p>
      <w:pPr>
        <w:pStyle w:val="Normal"/>
        <w:keepNext w:val="true"/>
        <w:keepLines/>
        <w:jc w:val="both"/>
        <w:rPr>
          <w:b/>
          <w:sz w:val="24"/>
          <w:u w:val="single"/>
        </w:rPr>
      </w:pPr>
      <w:r>
        <w:rPr>
          <w:b/>
          <w:sz w:val="24"/>
          <w:u w:val="single"/>
        </w:rPr>
      </w:r>
    </w:p>
    <w:p>
      <w:pPr>
        <w:pStyle w:val="BodyText"/>
        <w:keepNext w:val="true"/>
        <w:keepLines/>
        <w:ind w:hanging="540" w:start="540" w:end="0"/>
        <w:rPr/>
      </w:pPr>
      <w:r>
        <w:rPr>
          <w:b/>
        </w:rPr>
        <w:t>13.1</w:t>
        <w:tab/>
      </w:r>
      <w:r>
        <w:rPr>
          <w:b/>
          <w:u w:val="single"/>
        </w:rPr>
        <w:t>Indemnification by Lost Creek</w:t>
      </w:r>
      <w:r>
        <w:rPr>
          <w:b/>
        </w:rPr>
        <w:t>.</w:t>
      </w:r>
      <w:r>
        <w:rPr/>
        <w:t xml:space="preserve">  Subject to Section 13.3, Lost Creek shall indemnify and hold harmless Shipper, its agents and employees, from all damages, losses, costs, expenses (including reasonable attorney’s and consultant’s fees and expenses), awards, judgments, penalties or liabilities of any kind (statutory or otherwise), including damages, losses, costs and expenses directly resulting from injunctive or equitable relief (collectively “</w:t>
      </w:r>
      <w:r>
        <w:rPr>
          <w:u w:val="single"/>
        </w:rPr>
        <w:t>Losses</w:t>
      </w:r>
      <w:r>
        <w:rPr/>
        <w:t>”) actually suffered or incurred by Shipper which arise from the breach by Lost Creek of this agreement, or the negligence or willful misconduct of Lost Creek in the performance of its obligations hereunder, the operation of Lost Creek's System or Lost Creek's handling of Shipper's Gas while in Lost Creek's control and possession (except to the extent such Losses are caused by Shipper); provided that with regard to any Losses arising out of third party claims:</w:t>
      </w:r>
    </w:p>
    <w:p>
      <w:pPr>
        <w:pStyle w:val="Normal"/>
        <w:tabs>
          <w:tab w:val="clear" w:pos="720"/>
          <w:tab w:val="left" w:pos="-1440" w:leader="none"/>
        </w:tabs>
        <w:ind w:hanging="720" w:start="1440" w:end="0"/>
        <w:jc w:val="both"/>
        <w:rPr>
          <w:sz w:val="24"/>
        </w:rPr>
      </w:pPr>
      <w:r>
        <w:rPr>
          <w:sz w:val="24"/>
        </w:rPr>
        <w:t>(i)</w:t>
        <w:tab/>
        <w:t>Lost Creek shall have been notified in writing of any third party suit and any written claim preceding such suit which Shipper reasonably believes may lead to a suit by a third party, in each case, as soon as practicable after such suit has been brought or such written claim has been made;</w:t>
      </w:r>
    </w:p>
    <w:p>
      <w:pPr>
        <w:pStyle w:val="Normal"/>
        <w:jc w:val="both"/>
        <w:rPr>
          <w:sz w:val="24"/>
        </w:rPr>
      </w:pPr>
      <w:r>
        <w:rPr>
          <w:sz w:val="24"/>
        </w:rPr>
      </w:r>
    </w:p>
    <w:p>
      <w:pPr>
        <w:pStyle w:val="Normal"/>
        <w:tabs>
          <w:tab w:val="clear" w:pos="720"/>
          <w:tab w:val="left" w:pos="-1440" w:leader="none"/>
        </w:tabs>
        <w:ind w:hanging="720" w:start="1440" w:end="0"/>
        <w:jc w:val="both"/>
        <w:rPr>
          <w:sz w:val="24"/>
        </w:rPr>
      </w:pPr>
      <w:r>
        <w:rPr>
          <w:sz w:val="24"/>
        </w:rPr>
        <w:t>(ii)</w:t>
        <w:tab/>
        <w:t>Lost Creek shall have been given the right to join the defense or settlement of such third party claim or any negotiations related thereto unless there is a material conflict of interest between Lost Creek and the Shipper in respect of such suit or claim;</w:t>
      </w:r>
    </w:p>
    <w:p>
      <w:pPr>
        <w:pStyle w:val="Footer"/>
        <w:tabs>
          <w:tab w:val="clear" w:pos="4320"/>
          <w:tab w:val="clear" w:pos="8640"/>
        </w:tabs>
        <w:jc w:val="both"/>
        <w:rPr>
          <w:sz w:val="24"/>
        </w:rPr>
      </w:pPr>
      <w:r>
        <w:rPr>
          <w:sz w:val="24"/>
        </w:rPr>
      </w:r>
    </w:p>
    <w:p>
      <w:pPr>
        <w:pStyle w:val="Normal"/>
        <w:tabs>
          <w:tab w:val="clear" w:pos="720"/>
          <w:tab w:val="left" w:pos="-1440" w:leader="none"/>
        </w:tabs>
        <w:ind w:hanging="720" w:start="1440" w:end="0"/>
        <w:jc w:val="both"/>
        <w:rPr>
          <w:sz w:val="24"/>
        </w:rPr>
      </w:pPr>
      <w:r>
        <w:rPr>
          <w:sz w:val="24"/>
        </w:rPr>
        <w:t>(iii)</w:t>
        <w:tab/>
        <w:t>the Shipper shall not make any settlement with such third party without first satisfying Lost Creek that it can do so without prejudicing the interests of Lost Creek in such suit or claim;</w:t>
      </w:r>
    </w:p>
    <w:p>
      <w:pPr>
        <w:pStyle w:val="Normal"/>
        <w:jc w:val="both"/>
        <w:rPr>
          <w:sz w:val="24"/>
        </w:rPr>
      </w:pPr>
      <w:r>
        <w:rPr>
          <w:sz w:val="24"/>
        </w:rPr>
      </w:r>
    </w:p>
    <w:p>
      <w:pPr>
        <w:pStyle w:val="Normal"/>
        <w:tabs>
          <w:tab w:val="clear" w:pos="720"/>
          <w:tab w:val="left" w:pos="-1440" w:leader="none"/>
        </w:tabs>
        <w:ind w:hanging="720" w:start="1440" w:end="0"/>
        <w:jc w:val="both"/>
        <w:rPr>
          <w:sz w:val="24"/>
        </w:rPr>
      </w:pPr>
      <w:r>
        <w:rPr>
          <w:sz w:val="24"/>
        </w:rPr>
        <w:t>(iv)</w:t>
        <w:tab/>
        <w:t>the Shipper shall have provided all reasonable information and assistance requested by Lost Creek in connection with such suit or claim.</w:t>
      </w:r>
    </w:p>
    <w:p>
      <w:pPr>
        <w:pStyle w:val="Normal"/>
        <w:jc w:val="both"/>
        <w:rPr>
          <w:sz w:val="24"/>
        </w:rPr>
      </w:pPr>
      <w:r>
        <w:rPr>
          <w:sz w:val="24"/>
        </w:rPr>
      </w:r>
    </w:p>
    <w:p>
      <w:pPr>
        <w:pStyle w:val="Normal"/>
        <w:ind w:hanging="720" w:start="720" w:end="0"/>
        <w:jc w:val="both"/>
        <w:rPr>
          <w:sz w:val="24"/>
        </w:rPr>
      </w:pPr>
      <w:r>
        <w:rPr>
          <w:sz w:val="24"/>
        </w:rPr>
        <w:tab/>
        <w:t>To the extent that the failure by the Shipper to comply with the provisos set out in (i) to (iv) above does not materially prejudice Lost Creek in its defense of any claim or suit brought by a third party, such failure shall not prejudice the right of the Shipper to claim indemnity hereunder.  The indemnity contained in this Section 13.1 shall not be construed to limit any right or remedy that Shipper may have at law or in equity for any default hereunder by Lost Creek, subject to Section 13.3.  The indemnity in this Section 13.1 shall survive the termination of this Agreement.</w:t>
      </w:r>
    </w:p>
    <w:p>
      <w:pPr>
        <w:pStyle w:val="Normal"/>
        <w:ind w:hanging="720" w:start="720" w:end="0"/>
        <w:jc w:val="both"/>
        <w:rPr>
          <w:sz w:val="24"/>
        </w:rPr>
      </w:pPr>
      <w:r>
        <w:rPr>
          <w:sz w:val="24"/>
        </w:rPr>
      </w:r>
    </w:p>
    <w:p>
      <w:pPr>
        <w:pStyle w:val="BodyText"/>
        <w:ind w:hanging="540" w:start="540" w:end="0"/>
        <w:rPr/>
      </w:pPr>
      <w:r>
        <w:rPr>
          <w:b/>
        </w:rPr>
        <w:t>13.2</w:t>
        <w:tab/>
      </w:r>
      <w:r>
        <w:rPr>
          <w:b/>
          <w:u w:val="single"/>
        </w:rPr>
        <w:t>Indemnification by Shipper</w:t>
      </w:r>
      <w:r>
        <w:rPr>
          <w:b/>
        </w:rPr>
        <w:t>.</w:t>
      </w:r>
      <w:r>
        <w:rPr/>
        <w:t xml:space="preserve"> Subject to Section 13.3, Shipper shall indemnify and hold harmless Lost Creek, its agents and employees, from all Losses actually suffered or incurred by Lost Creek which arise from the from the breach by Shipper of this Agreement or the negligence or willful misconduct of Shipper in the performance of its obligations hereunder, the operation of the Committed Reserves or the handling of Shipper's Gas prior to delivery to Lost Creek at each Receipt Point (except to the extent such Losses are caused by Lost Creek); provided that with regard to any Losses arising out of third party claims:</w:t>
      </w:r>
    </w:p>
    <w:p>
      <w:pPr>
        <w:pStyle w:val="BodyTextIndent3"/>
        <w:jc w:val="both"/>
        <w:rPr/>
      </w:pPr>
      <w:r>
        <w:rPr/>
        <w:t>(i)</w:t>
        <w:tab/>
        <w:t>Shipper shall have been notified in writing of the suit and any written claim preceding the suit which Lost Creek reasonably believes may lead to a suit, in each case, as soon as practicable after such suit has been brought or such written claim has been made;</w:t>
      </w:r>
    </w:p>
    <w:p>
      <w:pPr>
        <w:pStyle w:val="Normal"/>
        <w:jc w:val="both"/>
        <w:rPr>
          <w:sz w:val="24"/>
        </w:rPr>
      </w:pPr>
      <w:r>
        <w:rPr>
          <w:sz w:val="24"/>
        </w:rPr>
      </w:r>
    </w:p>
    <w:p>
      <w:pPr>
        <w:pStyle w:val="BodyTextIndent3"/>
        <w:jc w:val="both"/>
        <w:rPr/>
      </w:pPr>
      <w:r>
        <w:rPr/>
        <w:t>(ii)</w:t>
        <w:tab/>
        <w:t>Shipper shall have been given the right to join the defense or settlement of such claim or any negotiations related thereto unless there is a material conflict of interest between Shipper and Lost Creek in respect of such suit or claim;</w:t>
      </w:r>
    </w:p>
    <w:p>
      <w:pPr>
        <w:pStyle w:val="Normal"/>
        <w:jc w:val="both"/>
        <w:rPr>
          <w:sz w:val="24"/>
        </w:rPr>
      </w:pPr>
      <w:r>
        <w:rPr>
          <w:sz w:val="24"/>
        </w:rPr>
      </w:r>
    </w:p>
    <w:p>
      <w:pPr>
        <w:pStyle w:val="BodyTextIndent3"/>
        <w:jc w:val="both"/>
        <w:rPr/>
      </w:pPr>
      <w:r>
        <w:rPr/>
        <w:t>(iii)</w:t>
        <w:tab/>
        <w:t>Lost Creek shall not make any settlement with such third party without first satisfying Shipper that it can do so without prejudicing the interests of Shipper in such suit or claim;</w:t>
      </w:r>
    </w:p>
    <w:p>
      <w:pPr>
        <w:pStyle w:val="Normal"/>
        <w:jc w:val="both"/>
        <w:rPr>
          <w:sz w:val="24"/>
        </w:rPr>
      </w:pPr>
      <w:r>
        <w:rPr>
          <w:sz w:val="24"/>
        </w:rPr>
      </w:r>
    </w:p>
    <w:p>
      <w:pPr>
        <w:pStyle w:val="BodyTextIndent3"/>
        <w:jc w:val="both"/>
        <w:rPr/>
      </w:pPr>
      <w:r>
        <w:rPr/>
        <w:t>(iv)</w:t>
        <w:tab/>
        <w:t>Lost Creek shall have provided all reasonable information and assistance requested by Shipper in connection with such suit or claim.</w:t>
      </w:r>
    </w:p>
    <w:p>
      <w:pPr>
        <w:pStyle w:val="Normal"/>
        <w:jc w:val="both"/>
        <w:rPr>
          <w:sz w:val="24"/>
        </w:rPr>
      </w:pPr>
      <w:r>
        <w:rPr>
          <w:sz w:val="24"/>
        </w:rPr>
      </w:r>
    </w:p>
    <w:p>
      <w:pPr>
        <w:pStyle w:val="Normal"/>
        <w:ind w:hanging="720" w:start="720" w:end="0"/>
        <w:jc w:val="both"/>
        <w:rPr>
          <w:sz w:val="24"/>
        </w:rPr>
      </w:pPr>
      <w:r>
        <w:rPr>
          <w:sz w:val="24"/>
        </w:rPr>
        <w:tab/>
        <w:t>To the extent that the failure by Lost Creek to comply with the provisos set out in (i) to (iv) above does not materially prejudice Shipper in its defense of any claim or suit brought by a third party, such failure shall not prejudice the right of Lost Creek to claim indemnity hereunder. The indemnity contained in this Section 13.2 shall not be construed to limit any right or remedy that Lost Creek may have at law or in equity for any default hereunder by Shipper, subject to Section 13.3.  The indemnity in this Section 13.2 shall survive the termination of this Agreement.</w:t>
      </w:r>
    </w:p>
    <w:p>
      <w:pPr>
        <w:pStyle w:val="Normal"/>
        <w:ind w:hanging="720" w:start="720" w:end="0"/>
        <w:jc w:val="both"/>
        <w:rPr>
          <w:sz w:val="24"/>
        </w:rPr>
      </w:pPr>
      <w:r>
        <w:rPr>
          <w:sz w:val="24"/>
        </w:rPr>
      </w:r>
    </w:p>
    <w:p>
      <w:pPr>
        <w:pStyle w:val="BodyText"/>
        <w:ind w:hanging="540" w:start="540" w:end="0"/>
        <w:rPr/>
      </w:pPr>
      <w:r>
        <w:rPr>
          <w:b/>
        </w:rPr>
        <w:t>13.3</w:t>
        <w:tab/>
      </w:r>
      <w:r>
        <w:rPr>
          <w:b/>
          <w:u w:val="single"/>
        </w:rPr>
        <w:t>Limitation of Damages</w:t>
      </w:r>
      <w:r>
        <w:rPr/>
        <w:t xml:space="preserve">. </w:t>
      </w:r>
      <w:r>
        <w:rPr>
          <w:b/>
          <w:caps/>
        </w:rPr>
        <w:t xml:space="preserve">NOTWITHSTANDING ANYTHING CONTAINED HEREIN TO THE CONTRARY, IN NO EVENT, EXCEPT AS EXPRESSLY PROVIDED IN SECTION 8.1 HEREOF, SHALL EITHER PARTY be liable to THE OTHER PARTY for any special, consequential, incidental, punitive, exemplary OR indirect damages, LOST PROFITS OR OTHER BUSINESS INTERRUPTION DAMAGES of any character, WHETHER BASED in tort, contract, WARRANTY, NEGLIGENCE, STRICT LIABILITY, uNDER ANY INDEMNITY PROVISION or otherwise.  </w:t>
      </w:r>
    </w:p>
    <w:p>
      <w:pPr>
        <w:pStyle w:val="Normal"/>
        <w:jc w:val="center"/>
        <w:rPr>
          <w:b/>
          <w:sz w:val="24"/>
        </w:rPr>
      </w:pPr>
      <w:r>
        <w:rPr>
          <w:b/>
          <w:sz w:val="24"/>
        </w:rPr>
        <w:t>ARTICLE XIV</w:t>
      </w:r>
    </w:p>
    <w:p>
      <w:pPr>
        <w:pStyle w:val="Normal"/>
        <w:jc w:val="center"/>
        <w:rPr>
          <w:b/>
          <w:sz w:val="24"/>
          <w:u w:val="single"/>
        </w:rPr>
      </w:pPr>
      <w:r>
        <w:rPr>
          <w:b/>
          <w:sz w:val="24"/>
          <w:u w:val="single"/>
        </w:rPr>
        <w:t>TAXES</w:t>
      </w:r>
    </w:p>
    <w:p>
      <w:pPr>
        <w:pStyle w:val="Normal"/>
        <w:jc w:val="both"/>
        <w:rPr>
          <w:b/>
          <w:sz w:val="24"/>
          <w:u w:val="single"/>
        </w:rPr>
      </w:pPr>
      <w:r>
        <w:rPr>
          <w:b/>
          <w:sz w:val="24"/>
          <w:u w:val="single"/>
        </w:rPr>
      </w:r>
    </w:p>
    <w:p>
      <w:pPr>
        <w:pStyle w:val="Normal"/>
        <w:ind w:hanging="720" w:start="720" w:end="0"/>
        <w:jc w:val="both"/>
        <w:rPr/>
      </w:pPr>
      <w:r>
        <w:rPr>
          <w:b/>
          <w:sz w:val="24"/>
        </w:rPr>
        <w:t>14.1</w:t>
        <w:tab/>
      </w:r>
      <w:r>
        <w:rPr>
          <w:b/>
          <w:sz w:val="24"/>
          <w:u w:val="single"/>
        </w:rPr>
        <w:t>Tax Responsibility.</w:t>
      </w:r>
      <w:r>
        <w:rPr>
          <w:sz w:val="24"/>
        </w:rPr>
        <w:t xml:space="preserve">  Shipper shall pay or cause to be paid all taxes, assessments, levies, fees, or other charges imposed with respect to Shipper's Gas Gathered hereunder prior to and including its delivery to Lost Creek.  Shipper shall also pay to Lost Creek all taxes, assessments, levies, fees or other charges which Lost Creek may be required or permitted to collect from Shipper by reason of all Gathering Services performed for Shipper hereunder.</w:t>
      </w:r>
    </w:p>
    <w:p>
      <w:pPr>
        <w:pStyle w:val="Normal"/>
        <w:jc w:val="center"/>
        <w:rPr>
          <w:b/>
          <w:sz w:val="24"/>
        </w:rPr>
      </w:pPr>
      <w:r>
        <w:rPr>
          <w:b/>
          <w:sz w:val="24"/>
        </w:rPr>
        <w:t>ARTICLE XV</w:t>
      </w:r>
    </w:p>
    <w:p>
      <w:pPr>
        <w:pStyle w:val="Normal"/>
        <w:jc w:val="center"/>
        <w:rPr>
          <w:b/>
          <w:sz w:val="24"/>
          <w:u w:val="single"/>
        </w:rPr>
      </w:pPr>
      <w:r>
        <w:rPr>
          <w:b/>
          <w:sz w:val="24"/>
          <w:u w:val="single"/>
        </w:rPr>
        <w:t>GOVERNING LAW</w:t>
      </w:r>
    </w:p>
    <w:p>
      <w:pPr>
        <w:pStyle w:val="Normal"/>
        <w:jc w:val="both"/>
        <w:rPr>
          <w:b/>
          <w:sz w:val="24"/>
          <w:u w:val="single"/>
        </w:rPr>
      </w:pPr>
      <w:r>
        <w:rPr>
          <w:b/>
          <w:sz w:val="24"/>
          <w:u w:val="single"/>
        </w:rPr>
      </w:r>
    </w:p>
    <w:p>
      <w:pPr>
        <w:pStyle w:val="BodyText2"/>
        <w:rPr/>
      </w:pPr>
      <w:r>
        <w:rPr/>
        <w:t>THIS AGREEMENT SHALL BE INTERPRETED, CONSTRUED, AND GOVERNED BY THE LAWS OF THE STATE OF TEXAS.</w:t>
      </w:r>
    </w:p>
    <w:p>
      <w:pPr>
        <w:pStyle w:val="Normal"/>
        <w:jc w:val="both"/>
        <w:rPr>
          <w:sz w:val="24"/>
        </w:rPr>
      </w:pPr>
      <w:r>
        <w:rPr>
          <w:sz w:val="24"/>
        </w:rPr>
      </w:r>
    </w:p>
    <w:p>
      <w:pPr>
        <w:pStyle w:val="Normal"/>
        <w:ind w:firstLine="720" w:end="0"/>
        <w:jc w:val="both"/>
        <w:rPr/>
      </w:pPr>
      <w:r>
        <w:rPr>
          <w:b/>
          <w:sz w:val="24"/>
        </w:rPr>
        <w:t>IN WITNESS THEREOF,</w:t>
      </w:r>
      <w:r>
        <w:rPr>
          <w:sz w:val="24"/>
        </w:rPr>
        <w:t xml:space="preserve"> the Parties have executed this Gas Gathering Agreement on the dates shown by their signatures below effective the date first above written.</w:t>
      </w:r>
    </w:p>
    <w:p>
      <w:pPr>
        <w:pStyle w:val="Normal"/>
        <w:jc w:val="both"/>
        <w:rPr>
          <w:sz w:val="24"/>
        </w:rPr>
      </w:pPr>
      <w:r>
        <w:rPr>
          <w:sz w:val="24"/>
        </w:rPr>
      </w:r>
    </w:p>
    <w:tbl>
      <w:tblPr>
        <w:tblW w:w="5220" w:type="dxa"/>
        <w:jc w:val="start"/>
        <w:tblInd w:w="4248" w:type="dxa"/>
        <w:tblLayout w:type="fixed"/>
        <w:tblCellMar>
          <w:top w:w="0" w:type="dxa"/>
          <w:start w:w="108" w:type="dxa"/>
          <w:bottom w:w="0" w:type="dxa"/>
          <w:end w:w="108" w:type="dxa"/>
        </w:tblCellMar>
      </w:tblPr>
      <w:tblGrid>
        <w:gridCol w:w="630"/>
        <w:gridCol w:w="450"/>
        <w:gridCol w:w="1530"/>
        <w:gridCol w:w="720"/>
        <w:gridCol w:w="1890"/>
      </w:tblGrid>
      <w:tr>
        <w:trPr/>
        <w:tc>
          <w:tcPr>
            <w:tcW w:w="5220" w:type="dxa"/>
            <w:gridSpan w:val="5"/>
            <w:tcBorders/>
          </w:tcPr>
          <w:p>
            <w:pPr>
              <w:pStyle w:val="Normal"/>
              <w:jc w:val="both"/>
              <w:rPr>
                <w:b/>
                <w:sz w:val="24"/>
              </w:rPr>
            </w:pPr>
            <w:r>
              <w:rPr>
                <w:b/>
                <w:sz w:val="24"/>
              </w:rPr>
              <w:t>Lost Creek</w:t>
            </w:r>
          </w:p>
        </w:tc>
      </w:tr>
      <w:tr>
        <w:trPr/>
        <w:tc>
          <w:tcPr>
            <w:tcW w:w="5220" w:type="dxa"/>
            <w:gridSpan w:val="5"/>
            <w:tcBorders/>
          </w:tcPr>
          <w:p>
            <w:pPr>
              <w:pStyle w:val="Normal"/>
              <w:jc w:val="both"/>
              <w:rPr>
                <w:b/>
                <w:sz w:val="24"/>
              </w:rPr>
            </w:pPr>
            <w:r>
              <w:rPr>
                <w:b/>
                <w:sz w:val="24"/>
              </w:rPr>
              <w:t xml:space="preserve">LOST CREEK GATHERING COMPANY, L.L.C., </w:t>
            </w:r>
          </w:p>
          <w:p>
            <w:pPr>
              <w:pStyle w:val="Normal"/>
              <w:jc w:val="both"/>
              <w:rPr>
                <w:b/>
                <w:sz w:val="24"/>
              </w:rPr>
            </w:pPr>
            <w:r>
              <w:rPr>
                <w:b/>
                <w:sz w:val="24"/>
              </w:rPr>
              <w:t xml:space="preserve">  </w:t>
            </w:r>
            <w:r>
              <w:rPr>
                <w:b/>
                <w:sz w:val="24"/>
              </w:rPr>
              <w:t xml:space="preserve">by ECT WIND RIVER, L.L.C., </w:t>
            </w:r>
          </w:p>
          <w:p>
            <w:pPr>
              <w:pStyle w:val="Normal"/>
              <w:jc w:val="both"/>
              <w:rPr>
                <w:b/>
                <w:sz w:val="24"/>
              </w:rPr>
            </w:pPr>
            <w:r>
              <w:rPr>
                <w:b/>
                <w:sz w:val="24"/>
              </w:rPr>
              <w:t xml:space="preserve">  </w:t>
            </w:r>
            <w:r>
              <w:rPr>
                <w:b/>
                <w:sz w:val="24"/>
              </w:rPr>
              <w:t>Commercial Manager</w:t>
            </w:r>
          </w:p>
          <w:p>
            <w:pPr>
              <w:pStyle w:val="Normal"/>
              <w:jc w:val="both"/>
              <w:rPr>
                <w:b/>
                <w:sz w:val="24"/>
              </w:rPr>
            </w:pPr>
            <w:r>
              <w:rPr>
                <w:b/>
                <w:sz w:val="24"/>
              </w:rPr>
              <w:t xml:space="preserve">    </w:t>
            </w:r>
          </w:p>
        </w:tc>
      </w:tr>
      <w:tr>
        <w:trPr/>
        <w:tc>
          <w:tcPr>
            <w:tcW w:w="5220" w:type="dxa"/>
            <w:gridSpan w:val="5"/>
            <w:tcBorders/>
          </w:tcPr>
          <w:p>
            <w:pPr>
              <w:pStyle w:val="Normal"/>
              <w:snapToGrid w:val="false"/>
              <w:jc w:val="both"/>
              <w:rPr>
                <w:b/>
                <w:sz w:val="24"/>
              </w:rPr>
            </w:pPr>
            <w:r>
              <w:rPr>
                <w:b/>
                <w:sz w:val="24"/>
              </w:rPr>
            </w:r>
          </w:p>
        </w:tc>
      </w:tr>
      <w:tr>
        <w:trPr/>
        <w:tc>
          <w:tcPr>
            <w:tcW w:w="630" w:type="dxa"/>
            <w:tcBorders/>
          </w:tcPr>
          <w:p>
            <w:pPr>
              <w:pStyle w:val="Normal"/>
              <w:jc w:val="both"/>
              <w:rPr>
                <w:b/>
                <w:sz w:val="24"/>
              </w:rPr>
            </w:pPr>
            <w:r>
              <w:rPr>
                <w:b/>
                <w:sz w:val="24"/>
              </w:rPr>
              <w:t>BY:</w:t>
            </w:r>
          </w:p>
        </w:tc>
        <w:tc>
          <w:tcPr>
            <w:tcW w:w="4590" w:type="dxa"/>
            <w:gridSpan w:val="4"/>
            <w:tcBorders>
              <w:bottom w:val="single" w:sz="6" w:space="0" w:color="000000"/>
            </w:tcBorders>
          </w:tcPr>
          <w:p>
            <w:pPr>
              <w:pStyle w:val="Normal"/>
              <w:snapToGrid w:val="false"/>
              <w:jc w:val="both"/>
              <w:rPr>
                <w:b/>
                <w:sz w:val="24"/>
              </w:rPr>
            </w:pPr>
            <w:r>
              <w:rPr>
                <w:b/>
                <w:sz w:val="24"/>
              </w:rPr>
            </w:r>
          </w:p>
        </w:tc>
      </w:tr>
      <w:tr>
        <w:trPr/>
        <w:tc>
          <w:tcPr>
            <w:tcW w:w="3330" w:type="dxa"/>
            <w:gridSpan w:val="4"/>
            <w:tcBorders/>
          </w:tcPr>
          <w:p>
            <w:pPr>
              <w:pStyle w:val="Normal"/>
              <w:jc w:val="both"/>
              <w:rPr>
                <w:b/>
                <w:sz w:val="24"/>
              </w:rPr>
            </w:pPr>
            <w:r>
              <w:rPr>
                <w:b/>
                <w:sz w:val="24"/>
              </w:rPr>
              <w:t>NAME:  Brian Bierbach</w:t>
            </w:r>
          </w:p>
        </w:tc>
        <w:tc>
          <w:tcPr>
            <w:tcW w:w="1890" w:type="dxa"/>
            <w:tcBorders/>
          </w:tcPr>
          <w:p>
            <w:pPr>
              <w:pStyle w:val="Normal"/>
              <w:snapToGrid w:val="false"/>
              <w:jc w:val="both"/>
              <w:rPr>
                <w:b/>
                <w:sz w:val="24"/>
              </w:rPr>
            </w:pPr>
            <w:r>
              <w:rPr>
                <w:b/>
                <w:sz w:val="24"/>
              </w:rPr>
            </w:r>
          </w:p>
        </w:tc>
      </w:tr>
      <w:tr>
        <w:trPr/>
        <w:tc>
          <w:tcPr>
            <w:tcW w:w="3330" w:type="dxa"/>
            <w:gridSpan w:val="4"/>
            <w:tcBorders/>
          </w:tcPr>
          <w:p>
            <w:pPr>
              <w:pStyle w:val="Normal"/>
              <w:jc w:val="both"/>
              <w:rPr>
                <w:b/>
                <w:sz w:val="24"/>
              </w:rPr>
            </w:pPr>
            <w:r>
              <w:rPr>
                <w:b/>
                <w:sz w:val="24"/>
              </w:rPr>
              <w:t>ITS:    Attorney-in-Fact</w:t>
            </w:r>
          </w:p>
        </w:tc>
        <w:tc>
          <w:tcPr>
            <w:tcW w:w="1890" w:type="dxa"/>
            <w:tcBorders/>
          </w:tcPr>
          <w:p>
            <w:pPr>
              <w:pStyle w:val="Normal"/>
              <w:snapToGrid w:val="false"/>
              <w:jc w:val="both"/>
              <w:rPr>
                <w:b/>
                <w:sz w:val="24"/>
              </w:rPr>
            </w:pPr>
            <w:r>
              <w:rPr>
                <w:b/>
                <w:sz w:val="24"/>
              </w:rPr>
            </w:r>
          </w:p>
        </w:tc>
      </w:tr>
      <w:tr>
        <w:trPr/>
        <w:tc>
          <w:tcPr>
            <w:tcW w:w="3330" w:type="dxa"/>
            <w:gridSpan w:val="4"/>
            <w:tcBorders/>
          </w:tcPr>
          <w:p>
            <w:pPr>
              <w:pStyle w:val="Normal"/>
              <w:snapToGrid w:val="false"/>
              <w:jc w:val="both"/>
              <w:rPr>
                <w:b/>
                <w:sz w:val="24"/>
              </w:rPr>
            </w:pPr>
            <w:r>
              <w:rPr>
                <w:b/>
                <w:sz w:val="24"/>
              </w:rPr>
            </w:r>
          </w:p>
        </w:tc>
        <w:tc>
          <w:tcPr>
            <w:tcW w:w="1890" w:type="dxa"/>
            <w:tcBorders/>
          </w:tcPr>
          <w:p>
            <w:pPr>
              <w:pStyle w:val="Normal"/>
              <w:snapToGrid w:val="false"/>
              <w:jc w:val="both"/>
              <w:rPr>
                <w:b/>
                <w:sz w:val="24"/>
              </w:rPr>
            </w:pPr>
            <w:r>
              <w:rPr>
                <w:b/>
                <w:sz w:val="24"/>
              </w:rPr>
            </w:r>
          </w:p>
        </w:tc>
      </w:tr>
      <w:tr>
        <w:trPr/>
        <w:tc>
          <w:tcPr>
            <w:tcW w:w="3330" w:type="dxa"/>
            <w:gridSpan w:val="4"/>
            <w:tcBorders/>
          </w:tcPr>
          <w:p>
            <w:pPr>
              <w:pStyle w:val="Normal"/>
              <w:snapToGrid w:val="false"/>
              <w:jc w:val="both"/>
              <w:rPr>
                <w:b/>
                <w:sz w:val="24"/>
              </w:rPr>
            </w:pPr>
            <w:r>
              <w:rPr>
                <w:b/>
                <w:sz w:val="24"/>
              </w:rPr>
            </w:r>
          </w:p>
        </w:tc>
        <w:tc>
          <w:tcPr>
            <w:tcW w:w="1890" w:type="dxa"/>
            <w:tcBorders/>
          </w:tcPr>
          <w:p>
            <w:pPr>
              <w:pStyle w:val="Normal"/>
              <w:snapToGrid w:val="false"/>
              <w:jc w:val="both"/>
              <w:rPr>
                <w:b/>
                <w:sz w:val="24"/>
              </w:rPr>
            </w:pPr>
            <w:r>
              <w:rPr>
                <w:b/>
                <w:sz w:val="24"/>
              </w:rPr>
            </w:r>
          </w:p>
        </w:tc>
      </w:tr>
      <w:tr>
        <w:trPr/>
        <w:tc>
          <w:tcPr>
            <w:tcW w:w="5220" w:type="dxa"/>
            <w:gridSpan w:val="5"/>
            <w:tcBorders/>
          </w:tcPr>
          <w:p>
            <w:pPr>
              <w:pStyle w:val="Normal"/>
              <w:jc w:val="both"/>
              <w:rPr>
                <w:b/>
                <w:sz w:val="24"/>
              </w:rPr>
            </w:pPr>
            <w:r>
              <w:rPr>
                <w:b/>
                <w:sz w:val="24"/>
              </w:rPr>
              <w:t>SHIPPER:</w:t>
            </w:r>
          </w:p>
        </w:tc>
      </w:tr>
      <w:tr>
        <w:trPr/>
        <w:tc>
          <w:tcPr>
            <w:tcW w:w="5220" w:type="dxa"/>
            <w:gridSpan w:val="5"/>
            <w:tcBorders/>
          </w:tcPr>
          <w:p>
            <w:pPr>
              <w:pStyle w:val="Normal"/>
              <w:snapToGrid w:val="false"/>
              <w:jc w:val="both"/>
              <w:rPr>
                <w:b/>
                <w:sz w:val="24"/>
              </w:rPr>
            </w:pPr>
            <w:r>
              <w:rPr>
                <w:b/>
                <w:sz w:val="24"/>
              </w:rPr>
            </w:r>
          </w:p>
        </w:tc>
      </w:tr>
      <w:tr>
        <w:trPr/>
        <w:tc>
          <w:tcPr>
            <w:tcW w:w="5220" w:type="dxa"/>
            <w:gridSpan w:val="5"/>
            <w:tcBorders/>
          </w:tcPr>
          <w:p>
            <w:pPr>
              <w:pStyle w:val="Normal"/>
              <w:jc w:val="both"/>
              <w:rPr>
                <w:b/>
                <w:caps/>
                <w:sz w:val="24"/>
              </w:rPr>
            </w:pPr>
            <w:r>
              <w:rPr>
                <w:b/>
                <w:caps/>
                <w:sz w:val="24"/>
              </w:rPr>
              <w:t>NORTH CENTRAL OIL CORPORATION</w:t>
            </w:r>
          </w:p>
        </w:tc>
      </w:tr>
      <w:tr>
        <w:trPr/>
        <w:tc>
          <w:tcPr>
            <w:tcW w:w="2610" w:type="dxa"/>
            <w:gridSpan w:val="3"/>
            <w:tcBorders/>
          </w:tcPr>
          <w:p>
            <w:pPr>
              <w:pStyle w:val="Normal"/>
              <w:snapToGrid w:val="false"/>
              <w:jc w:val="both"/>
              <w:rPr>
                <w:b/>
                <w:caps/>
                <w:sz w:val="24"/>
              </w:rPr>
            </w:pPr>
            <w:r>
              <w:rPr>
                <w:b/>
                <w:caps/>
                <w:sz w:val="24"/>
              </w:rPr>
            </w:r>
          </w:p>
        </w:tc>
        <w:tc>
          <w:tcPr>
            <w:tcW w:w="2610" w:type="dxa"/>
            <w:gridSpan w:val="2"/>
            <w:tcBorders/>
          </w:tcPr>
          <w:p>
            <w:pPr>
              <w:pStyle w:val="Normal"/>
              <w:snapToGrid w:val="false"/>
              <w:jc w:val="both"/>
              <w:rPr>
                <w:b/>
                <w:sz w:val="24"/>
              </w:rPr>
            </w:pPr>
            <w:r>
              <w:rPr>
                <w:b/>
                <w:sz w:val="24"/>
              </w:rPr>
            </w:r>
          </w:p>
        </w:tc>
      </w:tr>
      <w:tr>
        <w:trPr/>
        <w:tc>
          <w:tcPr>
            <w:tcW w:w="1080" w:type="dxa"/>
            <w:gridSpan w:val="2"/>
            <w:tcBorders/>
          </w:tcPr>
          <w:p>
            <w:pPr>
              <w:pStyle w:val="Normal"/>
              <w:jc w:val="both"/>
              <w:rPr>
                <w:b/>
                <w:sz w:val="24"/>
              </w:rPr>
            </w:pPr>
            <w:r>
              <w:rPr>
                <w:b/>
                <w:sz w:val="24"/>
              </w:rPr>
              <w:t>BY:</w:t>
            </w:r>
          </w:p>
        </w:tc>
        <w:tc>
          <w:tcPr>
            <w:tcW w:w="4140" w:type="dxa"/>
            <w:gridSpan w:val="3"/>
            <w:tcBorders>
              <w:bottom w:val="single" w:sz="6" w:space="0" w:color="000000"/>
            </w:tcBorders>
          </w:tcPr>
          <w:p>
            <w:pPr>
              <w:pStyle w:val="Normal"/>
              <w:snapToGrid w:val="false"/>
              <w:jc w:val="both"/>
              <w:rPr>
                <w:b/>
                <w:sz w:val="24"/>
              </w:rPr>
            </w:pPr>
            <w:r>
              <w:rPr>
                <w:b/>
                <w:sz w:val="24"/>
              </w:rPr>
            </w:r>
          </w:p>
        </w:tc>
      </w:tr>
      <w:tr>
        <w:trPr/>
        <w:tc>
          <w:tcPr>
            <w:tcW w:w="1080" w:type="dxa"/>
            <w:gridSpan w:val="2"/>
            <w:tcBorders/>
          </w:tcPr>
          <w:p>
            <w:pPr>
              <w:pStyle w:val="Normal"/>
              <w:jc w:val="both"/>
              <w:rPr>
                <w:b/>
                <w:sz w:val="24"/>
              </w:rPr>
            </w:pPr>
            <w:r>
              <w:rPr>
                <w:b/>
                <w:sz w:val="24"/>
              </w:rPr>
              <w:t>NAME:</w:t>
            </w:r>
          </w:p>
        </w:tc>
        <w:tc>
          <w:tcPr>
            <w:tcW w:w="4140" w:type="dxa"/>
            <w:gridSpan w:val="3"/>
            <w:tcBorders>
              <w:bottom w:val="single" w:sz="6" w:space="0" w:color="000000"/>
            </w:tcBorders>
          </w:tcPr>
          <w:p>
            <w:pPr>
              <w:pStyle w:val="Normal"/>
              <w:snapToGrid w:val="false"/>
              <w:jc w:val="both"/>
              <w:rPr>
                <w:b/>
                <w:sz w:val="24"/>
              </w:rPr>
            </w:pPr>
            <w:r>
              <w:rPr>
                <w:b/>
                <w:sz w:val="24"/>
              </w:rPr>
            </w:r>
          </w:p>
        </w:tc>
      </w:tr>
      <w:tr>
        <w:trPr/>
        <w:tc>
          <w:tcPr>
            <w:tcW w:w="1080" w:type="dxa"/>
            <w:gridSpan w:val="2"/>
            <w:tcBorders/>
          </w:tcPr>
          <w:p>
            <w:pPr>
              <w:pStyle w:val="Normal"/>
              <w:jc w:val="both"/>
              <w:rPr>
                <w:b/>
                <w:sz w:val="24"/>
              </w:rPr>
            </w:pPr>
            <w:r>
              <w:rPr>
                <w:b/>
                <w:sz w:val="24"/>
              </w:rPr>
              <w:t>ITS:</w:t>
            </w:r>
          </w:p>
        </w:tc>
        <w:tc>
          <w:tcPr>
            <w:tcW w:w="4140" w:type="dxa"/>
            <w:gridSpan w:val="3"/>
            <w:tcBorders>
              <w:bottom w:val="single" w:sz="6" w:space="0" w:color="000000"/>
            </w:tcBorders>
          </w:tcPr>
          <w:p>
            <w:pPr>
              <w:pStyle w:val="Normal"/>
              <w:snapToGrid w:val="false"/>
              <w:jc w:val="both"/>
              <w:rPr>
                <w:b/>
                <w:sz w:val="24"/>
              </w:rPr>
            </w:pPr>
            <w:r>
              <w:rPr>
                <w:b/>
                <w:sz w:val="24"/>
              </w:rPr>
            </w:r>
          </w:p>
        </w:tc>
      </w:tr>
    </w:tbl>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sectPr>
          <w:footerReference w:type="default" r:id="rId3"/>
          <w:footerReference w:type="first" r:id="rId4"/>
          <w:type w:val="nextPage"/>
          <w:pgSz w:w="12240" w:h="15840"/>
          <w:pgMar w:left="1440" w:right="1440" w:gutter="0" w:header="0" w:top="1440" w:footer="720" w:bottom="1440"/>
          <w:pgNumType w:start="1" w:fmt="decimal"/>
          <w:formProt w:val="false"/>
          <w:textDirection w:val="lrTb"/>
          <w:docGrid w:type="default" w:linePitch="360" w:charSpace="0"/>
        </w:sectPr>
        <w:pStyle w:val="Normal"/>
        <w:jc w:val="both"/>
        <w:rPr>
          <w:b/>
          <w:sz w:val="24"/>
        </w:rPr>
      </w:pPr>
      <w:r>
        <w:rPr>
          <w:b/>
          <w:sz w:val="24"/>
        </w:rPr>
      </w:r>
    </w:p>
    <w:p>
      <w:pPr>
        <w:pStyle w:val="Normal"/>
        <w:jc w:val="center"/>
        <w:rPr>
          <w:b/>
          <w:sz w:val="24"/>
        </w:rPr>
      </w:pPr>
      <w:r>
        <w:rPr>
          <w:b/>
          <w:sz w:val="24"/>
        </w:rPr>
      </w:r>
    </w:p>
    <w:p>
      <w:pPr>
        <w:pStyle w:val="Normal"/>
        <w:ind w:end="360"/>
        <w:jc w:val="center"/>
        <w:rPr>
          <w:b/>
          <w:sz w:val="24"/>
        </w:rPr>
      </w:pPr>
      <w:r>
        <w:rPr>
          <w:b/>
          <w:sz w:val="24"/>
        </w:rPr>
        <w:t>EXHIBIT "A"</w:t>
      </w:r>
    </w:p>
    <w:p>
      <w:pPr>
        <w:pStyle w:val="Normal"/>
        <w:ind w:end="360"/>
        <w:jc w:val="center"/>
        <w:rPr>
          <w:b/>
          <w:sz w:val="24"/>
        </w:rPr>
      </w:pPr>
      <w:r>
        <w:rPr>
          <w:b/>
          <w:sz w:val="24"/>
        </w:rPr>
      </w:r>
    </w:p>
    <w:p>
      <w:pPr>
        <w:pStyle w:val="Normal"/>
        <w:ind w:end="360"/>
        <w:jc w:val="center"/>
        <w:rPr>
          <w:b/>
          <w:caps/>
          <w:sz w:val="24"/>
        </w:rPr>
      </w:pPr>
      <w:r>
        <w:rPr>
          <w:b/>
          <w:caps/>
          <w:sz w:val="24"/>
        </w:rPr>
        <w:t>To The Gas Gathering Agreement</w:t>
      </w:r>
    </w:p>
    <w:p>
      <w:pPr>
        <w:pStyle w:val="Normal"/>
        <w:ind w:end="360"/>
        <w:jc w:val="center"/>
        <w:rPr>
          <w:b/>
          <w:caps/>
          <w:sz w:val="24"/>
        </w:rPr>
      </w:pPr>
      <w:r>
        <w:rPr>
          <w:b/>
          <w:caps/>
          <w:sz w:val="24"/>
        </w:rPr>
        <w:t xml:space="preserve">By and Between LOST CREEK GATHERING COMPANY, L.L.C. and </w:t>
      </w:r>
    </w:p>
    <w:p>
      <w:pPr>
        <w:pStyle w:val="Normal"/>
        <w:jc w:val="center"/>
        <w:rPr>
          <w:b/>
          <w:caps/>
          <w:sz w:val="24"/>
        </w:rPr>
      </w:pPr>
      <w:r>
        <w:rPr>
          <w:b/>
          <w:caps/>
          <w:sz w:val="24"/>
        </w:rPr>
        <w:t>NORTH CENTRAL OIL CORPORATION</w:t>
      </w:r>
    </w:p>
    <w:p>
      <w:pPr>
        <w:pStyle w:val="Normal"/>
        <w:jc w:val="both"/>
        <w:rPr>
          <w:b/>
          <w:caps/>
          <w:sz w:val="24"/>
        </w:rPr>
      </w:pPr>
      <w:r>
        <w:rPr>
          <w:b/>
          <w:caps/>
          <w:sz w:val="24"/>
        </w:rPr>
      </w:r>
    </w:p>
    <w:p>
      <w:pPr>
        <w:pStyle w:val="Normal"/>
        <w:jc w:val="both"/>
        <w:rPr>
          <w:b/>
          <w:sz w:val="24"/>
        </w:rPr>
      </w:pPr>
      <w:r>
        <w:rPr>
          <w:b/>
          <w:sz w:val="24"/>
        </w:rPr>
      </w:r>
    </w:p>
    <w:tbl>
      <w:tblPr>
        <w:tblW w:w="9576" w:type="dxa"/>
        <w:jc w:val="start"/>
        <w:tblInd w:w="0" w:type="dxa"/>
        <w:tblLayout w:type="fixed"/>
        <w:tblCellMar>
          <w:top w:w="0" w:type="dxa"/>
          <w:start w:w="108" w:type="dxa"/>
          <w:bottom w:w="0" w:type="dxa"/>
          <w:end w:w="108" w:type="dxa"/>
        </w:tblCellMar>
      </w:tblPr>
      <w:tblGrid>
        <w:gridCol w:w="1008"/>
        <w:gridCol w:w="3744"/>
        <w:gridCol w:w="36"/>
        <w:gridCol w:w="3708"/>
        <w:gridCol w:w="1008"/>
        <w:gridCol w:w="72"/>
      </w:tblGrid>
      <w:tr>
        <w:trPr/>
        <w:tc>
          <w:tcPr>
            <w:tcW w:w="1008" w:type="dxa"/>
            <w:tcBorders/>
          </w:tcPr>
          <w:p>
            <w:pPr>
              <w:pStyle w:val="Normal"/>
              <w:snapToGrid w:val="false"/>
              <w:jc w:val="both"/>
              <w:rPr>
                <w:b/>
                <w:sz w:val="24"/>
              </w:rPr>
            </w:pPr>
            <w:r>
              <w:rPr>
                <w:b/>
                <w:sz w:val="24"/>
              </w:rPr>
            </w:r>
          </w:p>
        </w:tc>
        <w:tc>
          <w:tcPr>
            <w:tcW w:w="3744" w:type="dxa"/>
            <w:tcBorders>
              <w:bottom w:val="single" w:sz="6" w:space="0" w:color="000000"/>
            </w:tcBorders>
          </w:tcPr>
          <w:p>
            <w:pPr>
              <w:pStyle w:val="Normal"/>
              <w:rPr>
                <w:b/>
                <w:sz w:val="24"/>
              </w:rPr>
            </w:pPr>
            <w:r>
              <w:rPr>
                <w:b/>
                <w:sz w:val="24"/>
              </w:rPr>
              <w:t>RECEIPT POINTS DEDICATED UNDER THIS AGREEMENT</w:t>
            </w:r>
          </w:p>
        </w:tc>
        <w:tc>
          <w:tcPr>
            <w:tcW w:w="3744" w:type="dxa"/>
            <w:gridSpan w:val="2"/>
            <w:tcBorders/>
          </w:tcPr>
          <w:p>
            <w:pPr>
              <w:pStyle w:val="Normal"/>
              <w:snapToGrid w:val="false"/>
              <w:jc w:val="both"/>
              <w:rPr>
                <w:b/>
                <w:sz w:val="24"/>
              </w:rPr>
            </w:pPr>
            <w:r>
              <w:rPr>
                <w:b/>
                <w:sz w:val="24"/>
              </w:rPr>
            </w:r>
          </w:p>
        </w:tc>
        <w:tc>
          <w:tcPr>
            <w:tcW w:w="1008" w:type="dxa"/>
            <w:tcBorders/>
          </w:tcPr>
          <w:p>
            <w:pPr>
              <w:pStyle w:val="Normal"/>
              <w:snapToGrid w:val="false"/>
              <w:jc w:val="both"/>
              <w:rPr>
                <w:b/>
                <w:sz w:val="24"/>
              </w:rPr>
            </w:pPr>
            <w:r>
              <w:rPr>
                <w:b/>
                <w:sz w:val="24"/>
              </w:rPr>
            </w:r>
          </w:p>
        </w:tc>
        <w:tc>
          <w:tcPr>
            <w:tcW w:w="72" w:type="dxa"/>
            <w:tcBorders/>
            <w:tcMar>
              <w:start w:w="0" w:type="dxa"/>
              <w:end w:w="0" w:type="dxa"/>
            </w:tcMar>
          </w:tcPr>
          <w:p>
            <w:pPr>
              <w:pStyle w:val="Normal"/>
              <w:snapToGrid w:val="false"/>
              <w:rPr>
                <w:b/>
                <w:sz w:val="24"/>
              </w:rPr>
            </w:pPr>
            <w:r>
              <w:rPr>
                <w:b/>
                <w:sz w:val="24"/>
              </w:rPr>
            </w:r>
          </w:p>
        </w:tc>
      </w:tr>
      <w:tr>
        <w:trPr/>
        <w:tc>
          <w:tcPr>
            <w:tcW w:w="9576" w:type="dxa"/>
            <w:gridSpan w:val="6"/>
            <w:tcBorders/>
          </w:tcPr>
          <w:p>
            <w:pPr>
              <w:pStyle w:val="Normal"/>
              <w:snapToGrid w:val="false"/>
              <w:jc w:val="both"/>
              <w:rPr>
                <w:b/>
                <w:sz w:val="24"/>
              </w:rPr>
            </w:pPr>
            <w:r>
              <w:rPr>
                <w:b/>
                <w:sz w:val="24"/>
              </w:rPr>
            </w:r>
          </w:p>
        </w:tc>
      </w:tr>
      <w:tr>
        <w:trPr/>
        <w:tc>
          <w:tcPr>
            <w:tcW w:w="1008" w:type="dxa"/>
            <w:tcBorders/>
            <w:tcMar>
              <w:start w:w="0" w:type="dxa"/>
              <w:end w:w="0" w:type="dxa"/>
            </w:tcMar>
          </w:tcPr>
          <w:p>
            <w:pPr>
              <w:pStyle w:val="Normal"/>
              <w:rPr>
                <w:b/>
                <w:sz w:val="24"/>
              </w:rPr>
            </w:pPr>
            <w:r>
              <w:rPr>
                <w:b/>
                <w:sz w:val="24"/>
              </w:rPr>
            </w:r>
          </w:p>
        </w:tc>
        <w:tc>
          <w:tcPr>
            <w:tcW w:w="3780" w:type="dxa"/>
            <w:gridSpan w:val="2"/>
            <w:tcBorders/>
          </w:tcPr>
          <w:p>
            <w:pPr>
              <w:pStyle w:val="Normal"/>
              <w:jc w:val="both"/>
              <w:rPr>
                <w:b/>
                <w:sz w:val="24"/>
              </w:rPr>
            </w:pPr>
            <w:r>
              <w:rPr>
                <w:sz w:val="24"/>
              </w:rPr>
              <w:t xml:space="preserve">All mutually agreeable points of interconnection existing from time to time on the  Lost Creek System </w:t>
            </w:r>
          </w:p>
        </w:tc>
        <w:tc>
          <w:tcPr>
            <w:tcW w:w="4788" w:type="dxa"/>
            <w:gridSpan w:val="3"/>
            <w:tcBorders/>
            <w:tcMar>
              <w:start w:w="0" w:type="dxa"/>
              <w:end w:w="0" w:type="dxa"/>
            </w:tcMar>
          </w:tcPr>
          <w:p>
            <w:pPr>
              <w:pStyle w:val="Normal"/>
              <w:snapToGrid w:val="false"/>
              <w:rPr>
                <w:b/>
                <w:sz w:val="24"/>
              </w:rPr>
            </w:pPr>
            <w:r>
              <w:rPr>
                <w:b/>
                <w:sz w:val="24"/>
              </w:rPr>
            </w:r>
          </w:p>
        </w:tc>
      </w:tr>
    </w:tbl>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r>
        <w:br w:type="page"/>
      </w:r>
    </w:p>
    <w:p>
      <w:pPr>
        <w:pStyle w:val="Normal"/>
        <w:ind w:end="360"/>
        <w:jc w:val="center"/>
        <w:rPr>
          <w:b/>
          <w:sz w:val="24"/>
        </w:rPr>
      </w:pPr>
      <w:r>
        <w:rPr>
          <w:b/>
          <w:sz w:val="24"/>
        </w:rPr>
        <w:t>EXHIBIT "B"</w:t>
      </w:r>
    </w:p>
    <w:p>
      <w:pPr>
        <w:pStyle w:val="Normal"/>
        <w:ind w:end="360"/>
        <w:jc w:val="center"/>
        <w:rPr>
          <w:b/>
          <w:sz w:val="24"/>
        </w:rPr>
      </w:pPr>
      <w:r>
        <w:rPr>
          <w:b/>
          <w:sz w:val="24"/>
        </w:rPr>
      </w:r>
    </w:p>
    <w:p>
      <w:pPr>
        <w:pStyle w:val="Normal"/>
        <w:ind w:end="360"/>
        <w:jc w:val="center"/>
        <w:rPr>
          <w:b/>
          <w:caps/>
          <w:sz w:val="24"/>
        </w:rPr>
      </w:pPr>
      <w:r>
        <w:rPr>
          <w:b/>
          <w:caps/>
          <w:sz w:val="24"/>
        </w:rPr>
        <w:t>To The Gas Gathering Agreement</w:t>
      </w:r>
    </w:p>
    <w:p>
      <w:pPr>
        <w:pStyle w:val="Normal"/>
        <w:ind w:end="360"/>
        <w:jc w:val="center"/>
        <w:rPr>
          <w:b/>
          <w:caps/>
          <w:sz w:val="24"/>
        </w:rPr>
      </w:pPr>
      <w:r>
        <w:rPr>
          <w:b/>
          <w:caps/>
          <w:sz w:val="24"/>
        </w:rPr>
        <w:t xml:space="preserve">By and Between LOST CREEK GATHERING COMPANY, L.L.C. and </w:t>
      </w:r>
    </w:p>
    <w:p>
      <w:pPr>
        <w:pStyle w:val="Normal"/>
        <w:jc w:val="center"/>
        <w:rPr>
          <w:b/>
          <w:caps/>
          <w:sz w:val="24"/>
        </w:rPr>
      </w:pPr>
      <w:r>
        <w:rPr>
          <w:b/>
          <w:caps/>
          <w:sz w:val="24"/>
        </w:rPr>
        <w:t>NORTH CENTRAL OIL CORPORATION</w:t>
      </w:r>
    </w:p>
    <w:p>
      <w:pPr>
        <w:pStyle w:val="Normal"/>
        <w:jc w:val="both"/>
        <w:rPr>
          <w:b/>
          <w:caps/>
          <w:sz w:val="24"/>
        </w:rPr>
      </w:pPr>
      <w:r>
        <w:rPr>
          <w:b/>
          <w:caps/>
          <w:sz w:val="24"/>
        </w:rPr>
      </w:r>
    </w:p>
    <w:p>
      <w:pPr>
        <w:pStyle w:val="Normal"/>
        <w:jc w:val="both"/>
        <w:rPr>
          <w:b/>
          <w:sz w:val="24"/>
        </w:rPr>
      </w:pPr>
      <w:r>
        <w:rPr>
          <w:b/>
          <w:sz w:val="24"/>
        </w:rPr>
      </w:r>
    </w:p>
    <w:p>
      <w:pPr>
        <w:pStyle w:val="Normal"/>
        <w:jc w:val="both"/>
        <w:rPr>
          <w:b/>
          <w:sz w:val="24"/>
        </w:rPr>
      </w:pPr>
      <w:r>
        <w:rPr>
          <w:b/>
          <w:sz w:val="24"/>
        </w:rPr>
      </w:r>
    </w:p>
    <w:p>
      <w:pPr>
        <w:pStyle w:val="Normal"/>
        <w:jc w:val="both"/>
        <w:rPr>
          <w:b/>
          <w:sz w:val="24"/>
        </w:rPr>
      </w:pPr>
      <w:r>
        <w:rPr>
          <w:b/>
          <w:sz w:val="24"/>
        </w:rPr>
      </w:r>
    </w:p>
    <w:tbl>
      <w:tblPr>
        <w:tblW w:w="9648" w:type="dxa"/>
        <w:jc w:val="start"/>
        <w:tblInd w:w="0" w:type="dxa"/>
        <w:tblLayout w:type="fixed"/>
        <w:tblCellMar>
          <w:top w:w="0" w:type="dxa"/>
          <w:start w:w="108" w:type="dxa"/>
          <w:bottom w:w="0" w:type="dxa"/>
          <w:end w:w="108" w:type="dxa"/>
        </w:tblCellMar>
      </w:tblPr>
      <w:tblGrid>
        <w:gridCol w:w="4176"/>
        <w:gridCol w:w="1296"/>
        <w:gridCol w:w="4176"/>
      </w:tblGrid>
      <w:tr>
        <w:trPr/>
        <w:tc>
          <w:tcPr>
            <w:tcW w:w="4176" w:type="dxa"/>
            <w:tcBorders>
              <w:bottom w:val="single" w:sz="6" w:space="0" w:color="000000"/>
            </w:tcBorders>
          </w:tcPr>
          <w:p>
            <w:pPr>
              <w:pStyle w:val="Normal"/>
              <w:jc w:val="both"/>
              <w:rPr>
                <w:sz w:val="24"/>
              </w:rPr>
            </w:pPr>
            <w:r>
              <w:rPr>
                <w:b/>
                <w:sz w:val="24"/>
              </w:rPr>
              <w:t>DELIVERY POINT(S)</w:t>
            </w:r>
          </w:p>
        </w:tc>
        <w:tc>
          <w:tcPr>
            <w:tcW w:w="1296" w:type="dxa"/>
            <w:tcBorders/>
          </w:tcPr>
          <w:p>
            <w:pPr>
              <w:pStyle w:val="Normal"/>
              <w:snapToGrid w:val="false"/>
              <w:jc w:val="both"/>
              <w:rPr>
                <w:sz w:val="24"/>
              </w:rPr>
            </w:pPr>
            <w:r>
              <w:rPr>
                <w:sz w:val="24"/>
              </w:rPr>
            </w:r>
          </w:p>
        </w:tc>
        <w:tc>
          <w:tcPr>
            <w:tcW w:w="4176" w:type="dxa"/>
            <w:tcBorders>
              <w:bottom w:val="single" w:sz="6" w:space="0" w:color="000000"/>
            </w:tcBorders>
          </w:tcPr>
          <w:p>
            <w:pPr>
              <w:pStyle w:val="Normal"/>
              <w:jc w:val="both"/>
              <w:rPr>
                <w:sz w:val="24"/>
              </w:rPr>
            </w:pPr>
            <w:r>
              <w:rPr>
                <w:b/>
                <w:sz w:val="24"/>
              </w:rPr>
              <w:t>DELIVERY PRESSURE(S) (PSIG)</w:t>
            </w:r>
          </w:p>
        </w:tc>
      </w:tr>
      <w:tr>
        <w:trPr/>
        <w:tc>
          <w:tcPr>
            <w:tcW w:w="4176" w:type="dxa"/>
            <w:tcBorders/>
          </w:tcPr>
          <w:p>
            <w:pPr>
              <w:pStyle w:val="Normal"/>
              <w:snapToGrid w:val="false"/>
              <w:jc w:val="both"/>
              <w:rPr>
                <w:sz w:val="24"/>
              </w:rPr>
            </w:pPr>
            <w:r>
              <w:rPr>
                <w:sz w:val="24"/>
              </w:rPr>
            </w:r>
          </w:p>
        </w:tc>
        <w:tc>
          <w:tcPr>
            <w:tcW w:w="1296" w:type="dxa"/>
            <w:tcBorders/>
          </w:tcPr>
          <w:p>
            <w:pPr>
              <w:pStyle w:val="Normal"/>
              <w:snapToGrid w:val="false"/>
              <w:jc w:val="both"/>
              <w:rPr>
                <w:sz w:val="24"/>
              </w:rPr>
            </w:pPr>
            <w:r>
              <w:rPr>
                <w:sz w:val="24"/>
              </w:rPr>
            </w:r>
          </w:p>
        </w:tc>
        <w:tc>
          <w:tcPr>
            <w:tcW w:w="4176" w:type="dxa"/>
            <w:tcBorders/>
          </w:tcPr>
          <w:p>
            <w:pPr>
              <w:pStyle w:val="Normal"/>
              <w:snapToGrid w:val="false"/>
              <w:jc w:val="both"/>
              <w:rPr>
                <w:sz w:val="24"/>
              </w:rPr>
            </w:pPr>
            <w:r>
              <w:rPr>
                <w:sz w:val="24"/>
              </w:rPr>
            </w:r>
          </w:p>
        </w:tc>
      </w:tr>
      <w:tr>
        <w:trPr/>
        <w:tc>
          <w:tcPr>
            <w:tcW w:w="4176" w:type="dxa"/>
            <w:tcBorders/>
          </w:tcPr>
          <w:p>
            <w:pPr>
              <w:pStyle w:val="Normal"/>
              <w:jc w:val="both"/>
              <w:rPr>
                <w:sz w:val="24"/>
              </w:rPr>
            </w:pPr>
            <w:r>
              <w:rPr>
                <w:sz w:val="24"/>
              </w:rPr>
              <w:t xml:space="preserve">Lost Creek – CIG interconnect located </w:t>
            </w:r>
          </w:p>
          <w:p>
            <w:pPr>
              <w:pStyle w:val="Normal"/>
              <w:jc w:val="both"/>
              <w:rPr>
                <w:sz w:val="24"/>
              </w:rPr>
            </w:pPr>
            <w:r>
              <w:rPr>
                <w:sz w:val="24"/>
              </w:rPr>
              <w:t>in Sweetwater County, Wyoming</w:t>
            </w:r>
          </w:p>
        </w:tc>
        <w:tc>
          <w:tcPr>
            <w:tcW w:w="1296" w:type="dxa"/>
            <w:tcBorders/>
          </w:tcPr>
          <w:p>
            <w:pPr>
              <w:pStyle w:val="Normal"/>
              <w:snapToGrid w:val="false"/>
              <w:jc w:val="both"/>
              <w:rPr>
                <w:sz w:val="24"/>
              </w:rPr>
            </w:pPr>
            <w:r>
              <w:rPr>
                <w:sz w:val="24"/>
              </w:rPr>
            </w:r>
          </w:p>
        </w:tc>
        <w:tc>
          <w:tcPr>
            <w:tcW w:w="4176" w:type="dxa"/>
            <w:tcBorders/>
          </w:tcPr>
          <w:p>
            <w:pPr>
              <w:pStyle w:val="Normal"/>
              <w:jc w:val="both"/>
              <w:rPr>
                <w:sz w:val="24"/>
              </w:rPr>
            </w:pPr>
            <w:r>
              <w:rPr>
                <w:sz w:val="24"/>
              </w:rPr>
              <w:t>Actual operating pressure, not to exceed  Lost Creek MAOP.</w:t>
            </w:r>
          </w:p>
        </w:tc>
      </w:tr>
      <w:tr>
        <w:trPr/>
        <w:tc>
          <w:tcPr>
            <w:tcW w:w="4176" w:type="dxa"/>
            <w:tcBorders/>
          </w:tcPr>
          <w:p>
            <w:pPr>
              <w:pStyle w:val="Normal"/>
              <w:snapToGrid w:val="false"/>
              <w:jc w:val="both"/>
              <w:rPr>
                <w:sz w:val="24"/>
              </w:rPr>
            </w:pPr>
            <w:r>
              <w:rPr>
                <w:sz w:val="24"/>
              </w:rPr>
            </w:r>
          </w:p>
        </w:tc>
        <w:tc>
          <w:tcPr>
            <w:tcW w:w="1296" w:type="dxa"/>
            <w:tcBorders/>
          </w:tcPr>
          <w:p>
            <w:pPr>
              <w:pStyle w:val="Normal"/>
              <w:snapToGrid w:val="false"/>
              <w:jc w:val="both"/>
              <w:rPr>
                <w:sz w:val="24"/>
              </w:rPr>
            </w:pPr>
            <w:r>
              <w:rPr>
                <w:sz w:val="24"/>
              </w:rPr>
            </w:r>
          </w:p>
        </w:tc>
        <w:tc>
          <w:tcPr>
            <w:tcW w:w="4176" w:type="dxa"/>
            <w:tcBorders/>
          </w:tcPr>
          <w:p>
            <w:pPr>
              <w:pStyle w:val="Normal"/>
              <w:snapToGrid w:val="false"/>
              <w:jc w:val="both"/>
              <w:rPr>
                <w:sz w:val="24"/>
              </w:rPr>
            </w:pPr>
            <w:r>
              <w:rPr>
                <w:sz w:val="24"/>
              </w:rPr>
            </w:r>
          </w:p>
        </w:tc>
      </w:tr>
      <w:tr>
        <w:trPr/>
        <w:tc>
          <w:tcPr>
            <w:tcW w:w="4176" w:type="dxa"/>
            <w:tcBorders/>
          </w:tcPr>
          <w:p>
            <w:pPr>
              <w:pStyle w:val="Normal"/>
              <w:jc w:val="both"/>
              <w:rPr>
                <w:sz w:val="24"/>
              </w:rPr>
            </w:pPr>
            <w:r>
              <w:rPr>
                <w:sz w:val="24"/>
              </w:rPr>
              <w:t>Lost Creek – WIC interconnect located in Sweetwater County, Wyoming</w:t>
            </w:r>
          </w:p>
        </w:tc>
        <w:tc>
          <w:tcPr>
            <w:tcW w:w="1296" w:type="dxa"/>
            <w:tcBorders/>
          </w:tcPr>
          <w:p>
            <w:pPr>
              <w:pStyle w:val="Normal"/>
              <w:snapToGrid w:val="false"/>
              <w:jc w:val="both"/>
              <w:rPr>
                <w:sz w:val="24"/>
              </w:rPr>
            </w:pPr>
            <w:r>
              <w:rPr>
                <w:sz w:val="24"/>
              </w:rPr>
            </w:r>
          </w:p>
        </w:tc>
        <w:tc>
          <w:tcPr>
            <w:tcW w:w="4176" w:type="dxa"/>
            <w:tcBorders/>
          </w:tcPr>
          <w:p>
            <w:pPr>
              <w:pStyle w:val="Normal"/>
              <w:jc w:val="both"/>
              <w:rPr>
                <w:sz w:val="24"/>
              </w:rPr>
            </w:pPr>
            <w:r>
              <w:rPr>
                <w:sz w:val="24"/>
              </w:rPr>
              <w:t>Actual operating pressure not to exceed  Lost Creek MAOP.</w:t>
            </w:r>
          </w:p>
        </w:tc>
      </w:tr>
    </w:tbl>
    <w:p>
      <w:pPr>
        <w:pStyle w:val="Normal"/>
        <w:jc w:val="both"/>
        <w:rPr>
          <w:sz w:val="24"/>
        </w:rPr>
      </w:pPr>
      <w:r>
        <w:rPr>
          <w:sz w:val="24"/>
        </w:rPr>
      </w:r>
    </w:p>
    <w:p>
      <w:pPr>
        <w:pStyle w:val="Normal"/>
        <w:jc w:val="both"/>
        <w:rPr>
          <w:sz w:val="24"/>
        </w:rPr>
      </w:pPr>
      <w:r>
        <w:rPr>
          <w:sz w:val="24"/>
        </w:rPr>
      </w:r>
      <w:r>
        <w:br w:type="page"/>
      </w:r>
    </w:p>
    <w:p>
      <w:pPr>
        <w:pStyle w:val="Normal"/>
        <w:jc w:val="both"/>
        <w:rPr>
          <w:sz w:val="24"/>
        </w:rPr>
      </w:pPr>
      <w:r>
        <w:rPr>
          <w:sz w:val="24"/>
        </w:rPr>
      </w:r>
    </w:p>
    <w:p>
      <w:pPr>
        <w:pStyle w:val="Normal"/>
        <w:ind w:end="360"/>
        <w:jc w:val="center"/>
        <w:rPr>
          <w:b/>
          <w:sz w:val="24"/>
        </w:rPr>
      </w:pPr>
      <w:r>
        <w:rPr>
          <w:b/>
          <w:sz w:val="24"/>
        </w:rPr>
        <w:t>EXHIBIT "C"</w:t>
      </w:r>
    </w:p>
    <w:p>
      <w:pPr>
        <w:pStyle w:val="Normal"/>
        <w:ind w:end="360"/>
        <w:jc w:val="center"/>
        <w:rPr>
          <w:b/>
          <w:sz w:val="24"/>
        </w:rPr>
      </w:pPr>
      <w:r>
        <w:rPr>
          <w:b/>
          <w:sz w:val="24"/>
        </w:rPr>
      </w:r>
    </w:p>
    <w:p>
      <w:pPr>
        <w:pStyle w:val="Normal"/>
        <w:ind w:end="360"/>
        <w:jc w:val="center"/>
        <w:rPr>
          <w:b/>
          <w:caps/>
          <w:sz w:val="24"/>
        </w:rPr>
      </w:pPr>
      <w:r>
        <w:rPr>
          <w:b/>
          <w:caps/>
          <w:sz w:val="24"/>
        </w:rPr>
        <w:t>To The Gas Gathering Agreement</w:t>
      </w:r>
    </w:p>
    <w:p>
      <w:pPr>
        <w:pStyle w:val="Normal"/>
        <w:ind w:end="360"/>
        <w:jc w:val="center"/>
        <w:rPr>
          <w:b/>
          <w:caps/>
          <w:sz w:val="24"/>
        </w:rPr>
      </w:pPr>
      <w:r>
        <w:rPr>
          <w:b/>
          <w:caps/>
          <w:sz w:val="24"/>
        </w:rPr>
        <w:t xml:space="preserve">By and Between LOST CREEK GATHERING COMPANY, L.L.C. and </w:t>
      </w:r>
    </w:p>
    <w:p>
      <w:pPr>
        <w:pStyle w:val="Normal"/>
        <w:jc w:val="center"/>
        <w:rPr>
          <w:b/>
          <w:caps/>
          <w:sz w:val="24"/>
        </w:rPr>
      </w:pPr>
      <w:r>
        <w:rPr>
          <w:b/>
          <w:caps/>
          <w:sz w:val="24"/>
        </w:rPr>
        <w:t>NORTH CENTRAL OIL CORPORATION</w:t>
      </w:r>
    </w:p>
    <w:p>
      <w:pPr>
        <w:pStyle w:val="Normal"/>
        <w:jc w:val="center"/>
        <w:rPr>
          <w:b/>
          <w:sz w:val="24"/>
        </w:rPr>
      </w:pPr>
      <w:r>
        <w:rPr>
          <w:b/>
          <w:sz w:val="24"/>
        </w:rPr>
        <w:t>RESERVE COMMITMENT AREA AND SUBJECT LEASES</w:t>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u w:val="single"/>
        </w:rPr>
        <w:t>PART I</w:t>
      </w:r>
    </w:p>
    <w:p>
      <w:pPr>
        <w:pStyle w:val="Normal"/>
        <w:jc w:val="center"/>
        <w:rPr>
          <w:b/>
          <w:sz w:val="24"/>
        </w:rPr>
      </w:pPr>
      <w:r>
        <w:rPr>
          <w:b/>
          <w:sz w:val="24"/>
        </w:rPr>
      </w:r>
    </w:p>
    <w:p>
      <w:pPr>
        <w:pStyle w:val="Normal"/>
        <w:jc w:val="center"/>
        <w:rPr>
          <w:b/>
          <w:sz w:val="24"/>
        </w:rPr>
      </w:pPr>
      <w:r>
        <w:rPr>
          <w:b/>
          <w:sz w:val="24"/>
        </w:rPr>
        <w:t>RESERVE COMMITMENT AREA</w:t>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r>
        <w:br w:type="page"/>
      </w:r>
    </w:p>
    <w:p>
      <w:pPr>
        <w:pStyle w:val="Normal"/>
        <w:ind w:end="360"/>
        <w:jc w:val="center"/>
        <w:rPr>
          <w:b/>
          <w:sz w:val="24"/>
        </w:rPr>
      </w:pPr>
      <w:r>
        <w:rPr>
          <w:b/>
          <w:sz w:val="24"/>
        </w:rPr>
        <w:t>EXHIBIT "C"</w:t>
      </w:r>
    </w:p>
    <w:p>
      <w:pPr>
        <w:pStyle w:val="Normal"/>
        <w:ind w:end="360"/>
        <w:jc w:val="center"/>
        <w:rPr>
          <w:b/>
          <w:sz w:val="24"/>
        </w:rPr>
      </w:pPr>
      <w:r>
        <w:rPr>
          <w:b/>
          <w:sz w:val="24"/>
        </w:rPr>
      </w:r>
    </w:p>
    <w:p>
      <w:pPr>
        <w:pStyle w:val="Normal"/>
        <w:ind w:end="360"/>
        <w:jc w:val="center"/>
        <w:rPr>
          <w:b/>
          <w:caps/>
          <w:sz w:val="24"/>
        </w:rPr>
      </w:pPr>
      <w:r>
        <w:rPr>
          <w:b/>
          <w:caps/>
          <w:sz w:val="24"/>
        </w:rPr>
        <w:t>To The Gas Gathering Agreement</w:t>
      </w:r>
    </w:p>
    <w:p>
      <w:pPr>
        <w:pStyle w:val="Normal"/>
        <w:ind w:end="360"/>
        <w:jc w:val="center"/>
        <w:rPr>
          <w:b/>
          <w:caps/>
          <w:sz w:val="24"/>
        </w:rPr>
      </w:pPr>
      <w:r>
        <w:rPr>
          <w:b/>
          <w:caps/>
          <w:sz w:val="24"/>
        </w:rPr>
        <w:t xml:space="preserve">By and Between LOST CREEK GATHERING COMPANY, L.L.C. and </w:t>
      </w:r>
    </w:p>
    <w:p>
      <w:pPr>
        <w:pStyle w:val="Normal"/>
        <w:jc w:val="center"/>
        <w:rPr>
          <w:b/>
          <w:caps/>
          <w:sz w:val="24"/>
        </w:rPr>
      </w:pPr>
      <w:r>
        <w:rPr>
          <w:b/>
          <w:caps/>
          <w:sz w:val="24"/>
        </w:rPr>
        <w:t>NORTH CENTRAL OIL CORPORATION</w:t>
      </w:r>
    </w:p>
    <w:p>
      <w:pPr>
        <w:pStyle w:val="Normal"/>
        <w:jc w:val="center"/>
        <w:rPr>
          <w:b/>
          <w:sz w:val="24"/>
        </w:rPr>
      </w:pPr>
      <w:r>
        <w:rPr>
          <w:b/>
          <w:sz w:val="24"/>
        </w:rPr>
        <w:t>RESERVE COMMITMENT AREA AND SUBJECT LEASES</w:t>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u w:val="single"/>
        </w:rPr>
        <w:t>PART II</w:t>
      </w:r>
    </w:p>
    <w:p>
      <w:pPr>
        <w:pStyle w:val="Normal"/>
        <w:jc w:val="center"/>
        <w:rPr>
          <w:b/>
          <w:sz w:val="24"/>
        </w:rPr>
      </w:pPr>
      <w:r>
        <w:rPr>
          <w:b/>
          <w:sz w:val="24"/>
        </w:rPr>
      </w:r>
    </w:p>
    <w:p>
      <w:pPr>
        <w:pStyle w:val="Normal"/>
        <w:jc w:val="center"/>
        <w:rPr>
          <w:b/>
          <w:sz w:val="24"/>
        </w:rPr>
      </w:pPr>
      <w:r>
        <w:rPr>
          <w:b/>
          <w:sz w:val="24"/>
        </w:rPr>
        <w:t>SUBJECT LEASES</w:t>
      </w:r>
    </w:p>
    <w:p>
      <w:pPr>
        <w:pStyle w:val="Normal"/>
        <w:jc w:val="center"/>
        <w:rPr>
          <w:b/>
          <w:sz w:val="24"/>
        </w:rPr>
      </w:pPr>
      <w:r>
        <w:rPr>
          <w:b/>
          <w:sz w:val="24"/>
        </w:rPr>
      </w:r>
    </w:p>
    <w:p>
      <w:pPr>
        <w:pStyle w:val="Normal"/>
        <w:ind w:end="360"/>
        <w:jc w:val="center"/>
        <w:rPr>
          <w:b/>
          <w:sz w:val="24"/>
        </w:rPr>
      </w:pPr>
      <w:r>
        <w:rPr>
          <w:b/>
          <w:sz w:val="24"/>
        </w:rPr>
        <w:t>THE INFORMATION SET FORTH FOR EACH SUBJECT LEASE IN THE COLUMN HEADED "% WORKING INTEREST" IS TRUE AND CORRECT TO THE BEST OF SHIPPER'S KNOWLEDGE AS OF THE DATE HEREOF.</w:t>
      </w:r>
      <w:r>
        <w:br w:type="page"/>
      </w:r>
    </w:p>
    <w:p>
      <w:pPr>
        <w:pStyle w:val="Normal"/>
        <w:ind w:end="360"/>
        <w:jc w:val="center"/>
        <w:rPr>
          <w:b/>
          <w:sz w:val="24"/>
        </w:rPr>
      </w:pPr>
      <w:r>
        <w:rPr>
          <w:b/>
          <w:sz w:val="24"/>
        </w:rPr>
        <w:t>EXHIBIT "D"</w:t>
      </w:r>
    </w:p>
    <w:p>
      <w:pPr>
        <w:pStyle w:val="Normal"/>
        <w:ind w:end="360"/>
        <w:jc w:val="center"/>
        <w:rPr>
          <w:b/>
          <w:sz w:val="24"/>
        </w:rPr>
      </w:pPr>
      <w:r>
        <w:rPr>
          <w:b/>
          <w:sz w:val="24"/>
        </w:rPr>
      </w:r>
    </w:p>
    <w:p>
      <w:pPr>
        <w:pStyle w:val="Normal"/>
        <w:ind w:end="360"/>
        <w:jc w:val="center"/>
        <w:rPr>
          <w:b/>
          <w:caps/>
          <w:sz w:val="24"/>
        </w:rPr>
      </w:pPr>
      <w:r>
        <w:rPr>
          <w:b/>
          <w:caps/>
          <w:sz w:val="24"/>
        </w:rPr>
        <w:t>To The Gas Gathering Agreement</w:t>
      </w:r>
    </w:p>
    <w:p>
      <w:pPr>
        <w:pStyle w:val="Normal"/>
        <w:ind w:end="360"/>
        <w:jc w:val="center"/>
        <w:rPr>
          <w:b/>
          <w:caps/>
          <w:sz w:val="24"/>
        </w:rPr>
      </w:pPr>
      <w:r>
        <w:rPr>
          <w:b/>
          <w:caps/>
          <w:sz w:val="24"/>
        </w:rPr>
        <w:t xml:space="preserve">By and Between LOST CREEK GATHERING COMPANY, L.L.C. and </w:t>
      </w:r>
    </w:p>
    <w:p>
      <w:pPr>
        <w:pStyle w:val="Normal"/>
        <w:jc w:val="center"/>
        <w:rPr>
          <w:b/>
          <w:caps/>
          <w:sz w:val="24"/>
        </w:rPr>
      </w:pPr>
      <w:r>
        <w:rPr>
          <w:b/>
          <w:caps/>
          <w:sz w:val="24"/>
        </w:rPr>
        <w:t>NORTH CENTRAL OIL CORPORATION</w:t>
      </w:r>
    </w:p>
    <w:p>
      <w:pPr>
        <w:pStyle w:val="Normal"/>
        <w:jc w:val="center"/>
        <w:rPr>
          <w:b/>
          <w:sz w:val="24"/>
        </w:rPr>
      </w:pPr>
      <w:r>
        <w:rPr>
          <w:b/>
          <w:sz w:val="24"/>
        </w:rPr>
        <w:t>NOTICE OF GATHERING SERVICES AGREEMENT</w:t>
      </w:r>
    </w:p>
    <w:p>
      <w:pPr>
        <w:pStyle w:val="Normal"/>
        <w:jc w:val="center"/>
        <w:rPr>
          <w:b/>
          <w:sz w:val="24"/>
        </w:rPr>
      </w:pPr>
      <w:r>
        <w:rPr>
          <w:b/>
          <w:sz w:val="24"/>
        </w:rPr>
      </w:r>
    </w:p>
    <w:p>
      <w:pPr>
        <w:pStyle w:val="Normal"/>
        <w:jc w:val="center"/>
        <w:rPr>
          <w:b/>
          <w:sz w:val="24"/>
        </w:rPr>
      </w:pPr>
      <w:r>
        <w:rPr>
          <w:b/>
          <w:sz w:val="24"/>
        </w:rPr>
      </w:r>
    </w:p>
    <w:p>
      <w:pPr>
        <w:pStyle w:val="Normal"/>
        <w:tabs>
          <w:tab w:val="clear" w:pos="720"/>
          <w:tab w:val="center" w:pos="10800" w:leader="none"/>
        </w:tabs>
        <w:jc w:val="center"/>
        <w:rPr>
          <w:b/>
        </w:rPr>
      </w:pPr>
      <w:r>
        <w:rPr>
          <w:b/>
        </w:rPr>
        <w:t>NOTICE OF GAS GATHERING AGREEMENT</w:t>
      </w:r>
    </w:p>
    <w:p>
      <w:pPr>
        <w:pStyle w:val="Normal"/>
        <w:jc w:val="both"/>
        <w:rPr>
          <w:b/>
        </w:rPr>
      </w:pPr>
      <w:r>
        <w:rPr>
          <w:b/>
        </w:rPr>
      </w:r>
    </w:p>
    <w:p>
      <w:pPr>
        <w:pStyle w:val="Normal"/>
        <w:jc w:val="both"/>
        <w:rPr/>
      </w:pPr>
      <w:r>
        <w:rPr/>
        <w:t xml:space="preserve">The undersigned parties have entered into a certain natural gas gathering agreement dated ___________,__________ and extending through a primary term to ____________,____, and thereafter pursuant to evergreen terms and as the same may be amended or supplemented from time to time.  The referenced gas gathering agreement covers the properties and interests set forth in </w:t>
      </w:r>
      <w:r>
        <w:rPr>
          <w:u w:val="single"/>
        </w:rPr>
        <w:t>Exhibits "D"</w:t>
      </w:r>
      <w:r>
        <w:rPr/>
        <w:t xml:space="preserve"> hereof.  The names and addresses of the parties are set forth below at the signature line of each.  </w:t>
        <w:tab/>
      </w:r>
    </w:p>
    <w:p>
      <w:pPr>
        <w:pStyle w:val="Normal"/>
        <w:jc w:val="both"/>
        <w:rPr/>
      </w:pPr>
      <w:r>
        <w:rPr/>
      </w:r>
    </w:p>
    <w:p>
      <w:pPr>
        <w:pStyle w:val="Normal"/>
        <w:jc w:val="both"/>
        <w:rPr/>
      </w:pPr>
      <w:r>
        <w:rPr/>
        <w:t>The parties are filing this Notice of Gas Gathering Agreement as record of the referenced gas gathering agreement for all purposes at law and in equity.</w:t>
      </w:r>
    </w:p>
    <w:p>
      <w:pPr>
        <w:pStyle w:val="Normal"/>
        <w:jc w:val="both"/>
        <w:rPr/>
      </w:pPr>
      <w:r>
        <w:rPr/>
      </w:r>
    </w:p>
    <w:p>
      <w:pPr>
        <w:pStyle w:val="Normal"/>
        <w:jc w:val="both"/>
        <w:rPr>
          <w:b/>
        </w:rPr>
      </w:pPr>
      <w:r>
        <w:rPr>
          <w:b/>
        </w:rPr>
        <w:t xml:space="preserve">RETURN THIS DOCUMENT TO: </w:t>
        <w:tab/>
        <w:t>LEGAL DEPARTMENT</w:t>
      </w:r>
    </w:p>
    <w:p>
      <w:pPr>
        <w:pStyle w:val="Normal"/>
        <w:jc w:val="both"/>
        <w:rPr>
          <w:b/>
        </w:rPr>
      </w:pPr>
      <w:r>
        <w:rPr>
          <w:b/>
        </w:rPr>
        <w:tab/>
        <w:tab/>
        <w:tab/>
        <w:t xml:space="preserve">         </w:t>
        <w:tab/>
        <w:tab/>
        <w:t>ATTN.:  ___________________________</w:t>
      </w:r>
    </w:p>
    <w:p>
      <w:pPr>
        <w:pStyle w:val="Normal"/>
        <w:jc w:val="both"/>
        <w:rPr>
          <w:b/>
        </w:rPr>
      </w:pPr>
      <w:r>
        <w:rPr>
          <w:b/>
        </w:rPr>
        <w:tab/>
        <w:tab/>
        <w:tab/>
        <w:tab/>
        <w:tab/>
        <w:t>1400 SMITH STREET</w:t>
      </w:r>
    </w:p>
    <w:p>
      <w:pPr>
        <w:pStyle w:val="Normal"/>
        <w:jc w:val="both"/>
        <w:rPr>
          <w:b/>
        </w:rPr>
      </w:pPr>
      <w:r>
        <w:rPr>
          <w:b/>
        </w:rPr>
        <w:tab/>
        <w:tab/>
        <w:tab/>
        <w:tab/>
        <w:tab/>
        <w:t>HOUSTON, TEXAS   77002</w:t>
      </w:r>
    </w:p>
    <w:p>
      <w:pPr>
        <w:pStyle w:val="Normal"/>
        <w:jc w:val="both"/>
        <w:rPr>
          <w:b/>
        </w:rPr>
      </w:pPr>
      <w:r>
        <w:rPr>
          <w:b/>
        </w:rPr>
      </w:r>
    </w:p>
    <w:p>
      <w:pPr>
        <w:pStyle w:val="Normal"/>
        <w:jc w:val="both"/>
        <w:rPr>
          <w:b/>
        </w:rPr>
      </w:pPr>
      <w:r>
        <w:rPr>
          <w:b/>
        </w:rPr>
      </w:r>
    </w:p>
    <w:tbl>
      <w:tblPr>
        <w:tblW w:w="4050" w:type="dxa"/>
        <w:jc w:val="start"/>
        <w:tblInd w:w="108" w:type="dxa"/>
        <w:tblLayout w:type="fixed"/>
        <w:tblCellMar>
          <w:top w:w="0" w:type="dxa"/>
          <w:start w:w="108" w:type="dxa"/>
          <w:bottom w:w="0" w:type="dxa"/>
          <w:end w:w="108" w:type="dxa"/>
        </w:tblCellMar>
      </w:tblPr>
      <w:tblGrid>
        <w:gridCol w:w="4050"/>
      </w:tblGrid>
      <w:tr>
        <w:trPr/>
        <w:tc>
          <w:tcPr>
            <w:tcW w:w="4050" w:type="dxa"/>
            <w:tcBorders/>
          </w:tcPr>
          <w:p>
            <w:pPr>
              <w:pStyle w:val="Normal"/>
              <w:jc w:val="both"/>
              <w:rPr>
                <w:b/>
              </w:rPr>
            </w:pPr>
            <w:r>
              <w:rPr>
                <w:b/>
              </w:rPr>
              <w:t xml:space="preserve">LOST CREEK GATHERING COMPANY, L.L.C., </w:t>
            </w:r>
          </w:p>
          <w:p>
            <w:pPr>
              <w:pStyle w:val="Normal"/>
              <w:jc w:val="both"/>
              <w:rPr>
                <w:b/>
              </w:rPr>
            </w:pPr>
            <w:r>
              <w:rPr>
                <w:b/>
              </w:rPr>
              <w:t xml:space="preserve">  </w:t>
            </w:r>
            <w:r>
              <w:rPr>
                <w:b/>
              </w:rPr>
              <w:t xml:space="preserve">by ECT WIND RIVER, L.L.C., </w:t>
            </w:r>
          </w:p>
          <w:p>
            <w:pPr>
              <w:pStyle w:val="Normal"/>
              <w:jc w:val="both"/>
              <w:rPr>
                <w:b/>
                <w:sz w:val="24"/>
              </w:rPr>
            </w:pPr>
            <w:r>
              <w:rPr>
                <w:b/>
              </w:rPr>
              <w:t xml:space="preserve">  </w:t>
            </w:r>
            <w:r>
              <w:rPr>
                <w:b/>
              </w:rPr>
              <w:t>Commercial Manager</w:t>
            </w:r>
          </w:p>
        </w:tc>
      </w:tr>
    </w:tbl>
    <w:p>
      <w:pPr>
        <w:pStyle w:val="Normal"/>
        <w:tabs>
          <w:tab w:val="clear" w:pos="720"/>
          <w:tab w:val="left" w:pos="4050" w:leader="none"/>
          <w:tab w:val="left" w:pos="5400" w:leader="none"/>
          <w:tab w:val="left" w:pos="9360" w:leader="none"/>
        </w:tabs>
        <w:rPr/>
      </w:pPr>
      <w:r>
        <w:rPr/>
      </w:r>
    </w:p>
    <w:p>
      <w:pPr>
        <w:pStyle w:val="Normal"/>
        <w:tabs>
          <w:tab w:val="clear" w:pos="720"/>
          <w:tab w:val="left" w:pos="4050" w:leader="none"/>
          <w:tab w:val="left" w:pos="5400" w:leader="none"/>
          <w:tab w:val="left" w:pos="9360" w:leader="none"/>
        </w:tabs>
        <w:rPr/>
      </w:pPr>
      <w:r>
        <w:rPr/>
        <w:t>By:</w:t>
      </w:r>
      <w:r>
        <w:rPr>
          <w:u w:val="single"/>
        </w:rPr>
        <w:tab/>
      </w:r>
      <w:r>
        <w:rPr/>
        <w:tab/>
      </w:r>
    </w:p>
    <w:p>
      <w:pPr>
        <w:pStyle w:val="Normal"/>
        <w:tabs>
          <w:tab w:val="clear" w:pos="720"/>
          <w:tab w:val="left" w:pos="4050" w:leader="none"/>
          <w:tab w:val="left" w:pos="5400" w:leader="none"/>
          <w:tab w:val="left" w:pos="9360" w:leader="none"/>
        </w:tabs>
        <w:rPr>
          <w:u w:val="single"/>
        </w:rPr>
      </w:pPr>
      <w:r>
        <w:rPr/>
        <w:t>Title:</w:t>
      </w:r>
      <w:r>
        <w:rPr>
          <w:u w:val="single"/>
        </w:rPr>
        <w:tab/>
      </w:r>
      <w:r>
        <w:rPr/>
        <w:tab/>
      </w:r>
    </w:p>
    <w:p>
      <w:pPr>
        <w:pStyle w:val="Normal"/>
        <w:tabs>
          <w:tab w:val="clear" w:pos="720"/>
          <w:tab w:val="left" w:pos="4050" w:leader="none"/>
          <w:tab w:val="left" w:pos="5400" w:leader="none"/>
          <w:tab w:val="left" w:pos="9360" w:leader="none"/>
        </w:tabs>
        <w:rPr>
          <w:u w:val="single"/>
        </w:rPr>
      </w:pPr>
      <w:r>
        <w:rPr>
          <w:u w:val="single"/>
        </w:rPr>
      </w:r>
    </w:p>
    <w:p>
      <w:pPr>
        <w:pStyle w:val="Normal"/>
        <w:tabs>
          <w:tab w:val="clear" w:pos="720"/>
          <w:tab w:val="left" w:pos="4050" w:leader="none"/>
          <w:tab w:val="left" w:pos="5400" w:leader="none"/>
          <w:tab w:val="left" w:pos="9360" w:leader="none"/>
        </w:tabs>
        <w:rPr>
          <w:u w:val="single"/>
        </w:rPr>
      </w:pPr>
      <w:r>
        <w:rPr>
          <w:u w:val="single"/>
        </w:rPr>
      </w:r>
    </w:p>
    <w:p>
      <w:pPr>
        <w:pStyle w:val="Normal"/>
        <w:tabs>
          <w:tab w:val="clear" w:pos="720"/>
          <w:tab w:val="left" w:pos="4050" w:leader="none"/>
          <w:tab w:val="left" w:pos="5400" w:leader="none"/>
          <w:tab w:val="left" w:pos="9360" w:leader="none"/>
        </w:tabs>
        <w:rPr>
          <w:b/>
        </w:rPr>
      </w:pPr>
      <w:r>
        <w:rPr>
          <w:b/>
        </w:rPr>
        <w:t xml:space="preserve">NORTH CENTRAL OIL CORPORATION </w:t>
      </w:r>
    </w:p>
    <w:p>
      <w:pPr>
        <w:pStyle w:val="Normal"/>
        <w:tabs>
          <w:tab w:val="clear" w:pos="720"/>
          <w:tab w:val="left" w:pos="4050" w:leader="none"/>
          <w:tab w:val="left" w:pos="5400" w:leader="none"/>
          <w:tab w:val="left" w:pos="9360" w:leader="none"/>
        </w:tabs>
        <w:rPr>
          <w:b/>
        </w:rPr>
      </w:pPr>
      <w:r>
        <w:rPr>
          <w:b/>
        </w:rPr>
      </w:r>
    </w:p>
    <w:p>
      <w:pPr>
        <w:pStyle w:val="Normal"/>
        <w:tabs>
          <w:tab w:val="clear" w:pos="720"/>
          <w:tab w:val="left" w:pos="4050" w:leader="none"/>
          <w:tab w:val="left" w:pos="5400" w:leader="none"/>
          <w:tab w:val="left" w:pos="9360" w:leader="none"/>
        </w:tabs>
        <w:rPr/>
      </w:pPr>
      <w:r>
        <w:rPr/>
        <w:t>By:</w:t>
      </w:r>
      <w:r>
        <w:rPr>
          <w:u w:val="single"/>
        </w:rPr>
        <w:tab/>
      </w:r>
    </w:p>
    <w:p>
      <w:pPr>
        <w:pStyle w:val="Normal"/>
        <w:tabs>
          <w:tab w:val="clear" w:pos="720"/>
          <w:tab w:val="left" w:pos="4050" w:leader="none"/>
          <w:tab w:val="left" w:pos="5400" w:leader="none"/>
          <w:tab w:val="left" w:pos="9360" w:leader="none"/>
        </w:tabs>
        <w:rPr/>
      </w:pPr>
      <w:r>
        <w:rPr/>
        <w:t>Title:</w:t>
      </w:r>
      <w:r>
        <w:rPr>
          <w:u w:val="single"/>
        </w:rPr>
        <w:tab/>
      </w:r>
    </w:p>
    <w:p>
      <w:pPr>
        <w:pStyle w:val="Normal"/>
        <w:jc w:val="both"/>
        <w:rPr/>
      </w:pPr>
      <w:r>
        <w:rPr/>
        <w:tab/>
        <w:tab/>
        <w:tab/>
        <w:tab/>
        <w:tab/>
        <w:tab/>
      </w:r>
    </w:p>
    <w:p>
      <w:pPr>
        <w:pStyle w:val="Normal"/>
        <w:jc w:val="both"/>
        <w:rPr/>
      </w:pPr>
      <w:r>
        <w:rPr/>
      </w:r>
    </w:p>
    <w:p>
      <w:pPr>
        <w:pStyle w:val="Normal"/>
        <w:jc w:val="both"/>
        <w:rPr/>
      </w:pPr>
      <w:r>
        <w:rPr/>
        <w:t xml:space="preserve">State of </w:t>
      </w:r>
      <w:r>
        <w:rPr>
          <w:u w:val="single"/>
        </w:rPr>
        <w:tab/>
        <w:tab/>
        <w:tab/>
        <w:tab/>
        <w:tab/>
      </w:r>
      <w:r>
        <w:rPr/>
        <w:t>)</w:t>
      </w:r>
    </w:p>
    <w:p>
      <w:pPr>
        <w:pStyle w:val="Normal"/>
        <w:ind w:firstLine="720" w:end="0"/>
        <w:jc w:val="both"/>
        <w:rPr>
          <w:b/>
          <w:i/>
          <w:i/>
        </w:rPr>
      </w:pPr>
      <w:r>
        <w:rPr/>
        <w:tab/>
        <w:tab/>
        <w:tab/>
        <w:tab/>
        <w:t>)</w:t>
      </w:r>
    </w:p>
    <w:p>
      <w:pPr>
        <w:pStyle w:val="Normal"/>
        <w:jc w:val="both"/>
        <w:rPr/>
      </w:pPr>
      <w:r>
        <w:rPr/>
        <w:t>County of</w:t>
      </w:r>
      <w:r>
        <w:rPr>
          <w:u w:val="single"/>
        </w:rPr>
        <w:tab/>
        <w:tab/>
        <w:tab/>
        <w:tab/>
      </w:r>
      <w:r>
        <w:rPr/>
        <w:t>)</w:t>
      </w:r>
    </w:p>
    <w:p>
      <w:pPr>
        <w:pStyle w:val="Normal"/>
        <w:jc w:val="both"/>
        <w:rPr/>
      </w:pPr>
      <w:r>
        <w:rPr/>
      </w:r>
    </w:p>
    <w:p>
      <w:pPr>
        <w:pStyle w:val="Normal"/>
        <w:jc w:val="both"/>
        <w:rPr/>
      </w:pPr>
      <w:r>
        <w:rPr/>
        <w:t>The foregoing instrument was acknowledged before me by Brian Bierbach,  attorney-in fact for ECT Wind River, L.L.C., a Delaware limited liability company, on behalf of said limited liability company on _____________,______.</w:t>
      </w:r>
    </w:p>
    <w:p>
      <w:pPr>
        <w:pStyle w:val="Normal"/>
        <w:jc w:val="both"/>
        <w:rPr/>
      </w:pPr>
      <w:r>
        <w:rPr/>
      </w:r>
    </w:p>
    <w:p>
      <w:pPr>
        <w:pStyle w:val="Normal"/>
        <w:jc w:val="both"/>
        <w:rPr/>
      </w:pPr>
      <w:r>
        <w:rPr/>
        <w:tab/>
        <w:t>Witness my hand and official seal.</w:t>
      </w:r>
    </w:p>
    <w:p>
      <w:pPr>
        <w:pStyle w:val="Normal"/>
        <w:jc w:val="both"/>
        <w:rPr/>
      </w:pPr>
      <w:r>
        <w:rPr/>
      </w:r>
    </w:p>
    <w:p>
      <w:pPr>
        <w:pStyle w:val="Normal"/>
        <w:ind w:firstLine="720" w:start="3600" w:end="0"/>
        <w:jc w:val="both"/>
        <w:rPr/>
      </w:pPr>
      <w:r>
        <w:rPr/>
        <w:t>_________________________________________</w:t>
      </w:r>
    </w:p>
    <w:p>
      <w:pPr>
        <w:pStyle w:val="Normal"/>
        <w:jc w:val="both"/>
        <w:rPr/>
      </w:pPr>
      <w:r>
        <w:rPr/>
        <w:tab/>
        <w:tab/>
        <w:tab/>
        <w:tab/>
        <w:tab/>
        <w:tab/>
        <w:t>Notary Public in and for the State of ____________</w:t>
      </w:r>
    </w:p>
    <w:p>
      <w:pPr>
        <w:pStyle w:val="Normal"/>
        <w:ind w:start="2160" w:end="0"/>
        <w:jc w:val="both"/>
        <w:rPr/>
      </w:pPr>
      <w:r>
        <w:rPr/>
        <w:br/>
        <w:t>My Commission Expires:  _________________________</w:t>
      </w:r>
    </w:p>
    <w:p>
      <w:pPr>
        <w:pStyle w:val="Normal"/>
        <w:jc w:val="both"/>
        <w:rPr/>
      </w:pPr>
      <w:r>
        <w:rPr/>
      </w:r>
    </w:p>
    <w:p>
      <w:pPr>
        <w:pStyle w:val="Normal"/>
        <w:jc w:val="both"/>
        <w:rPr/>
      </w:pPr>
      <w:r>
        <w:rPr/>
      </w:r>
    </w:p>
    <w:p>
      <w:pPr>
        <w:pStyle w:val="Normal"/>
        <w:jc w:val="both"/>
        <w:rPr/>
      </w:pPr>
      <w:r>
        <w:rPr/>
        <w:t xml:space="preserve">State of </w:t>
      </w:r>
      <w:r>
        <w:rPr>
          <w:u w:val="single"/>
        </w:rPr>
        <w:tab/>
        <w:tab/>
        <w:tab/>
        <w:tab/>
        <w:tab/>
      </w:r>
      <w:r>
        <w:rPr/>
        <w:t>)</w:t>
      </w:r>
    </w:p>
    <w:p>
      <w:pPr>
        <w:pStyle w:val="Normal"/>
        <w:ind w:firstLine="720" w:end="0"/>
        <w:jc w:val="both"/>
        <w:rPr/>
      </w:pPr>
      <w:r>
        <w:rPr/>
        <w:tab/>
        <w:tab/>
        <w:tab/>
        <w:tab/>
        <w:t>)</w:t>
      </w:r>
      <w:r>
        <w:rPr>
          <w:b/>
          <w:i/>
        </w:rPr>
        <w:t xml:space="preserve">    (Corporation)</w:t>
      </w:r>
    </w:p>
    <w:p>
      <w:pPr>
        <w:pStyle w:val="Normal"/>
        <w:jc w:val="both"/>
        <w:rPr/>
      </w:pPr>
      <w:r>
        <w:rPr/>
        <w:t>County of</w:t>
      </w:r>
      <w:r>
        <w:rPr>
          <w:u w:val="single"/>
        </w:rPr>
        <w:tab/>
        <w:tab/>
        <w:tab/>
        <w:tab/>
      </w:r>
      <w:r>
        <w:rPr/>
        <w:t>)</w:t>
      </w:r>
    </w:p>
    <w:p>
      <w:pPr>
        <w:pStyle w:val="Normal"/>
        <w:jc w:val="both"/>
        <w:rPr/>
      </w:pPr>
      <w:r>
        <w:rPr/>
      </w:r>
    </w:p>
    <w:p>
      <w:pPr>
        <w:pStyle w:val="Normal"/>
        <w:jc w:val="both"/>
        <w:rPr/>
      </w:pPr>
      <w:r>
        <w:rPr/>
      </w:r>
    </w:p>
    <w:p>
      <w:pPr>
        <w:pStyle w:val="Normal"/>
        <w:jc w:val="both"/>
        <w:rPr/>
      </w:pPr>
      <w:r>
        <w:rPr/>
        <w:t>The foregoing instrument was acknowledged before me by __________________, ____________ of  North Central Oil Corporation, a Delaware corporation, on _____________,______.</w:t>
      </w:r>
    </w:p>
    <w:p>
      <w:pPr>
        <w:pStyle w:val="Normal"/>
        <w:jc w:val="both"/>
        <w:rPr/>
      </w:pPr>
      <w:r>
        <w:rPr/>
      </w:r>
    </w:p>
    <w:p>
      <w:pPr>
        <w:pStyle w:val="Normal"/>
        <w:jc w:val="both"/>
        <w:rPr/>
      </w:pPr>
      <w:r>
        <w:rPr/>
        <w:tab/>
        <w:t>Witness my hand and official seal.</w:t>
      </w:r>
    </w:p>
    <w:p>
      <w:pPr>
        <w:pStyle w:val="Normal"/>
        <w:jc w:val="both"/>
        <w:rPr/>
      </w:pPr>
      <w:r>
        <w:rPr/>
      </w:r>
    </w:p>
    <w:p>
      <w:pPr>
        <w:pStyle w:val="Normal"/>
        <w:ind w:firstLine="720" w:start="3600" w:end="0"/>
        <w:jc w:val="both"/>
        <w:rPr/>
      </w:pPr>
      <w:r>
        <w:rPr/>
        <w:t>_________________________________________</w:t>
      </w:r>
    </w:p>
    <w:p>
      <w:pPr>
        <w:pStyle w:val="Normal"/>
        <w:jc w:val="both"/>
        <w:rPr/>
      </w:pPr>
      <w:r>
        <w:rPr/>
        <w:tab/>
        <w:tab/>
        <w:tab/>
        <w:tab/>
        <w:tab/>
        <w:tab/>
        <w:t>Notary Public in and for the State of ____________</w:t>
      </w:r>
    </w:p>
    <w:p>
      <w:pPr>
        <w:pStyle w:val="Normal"/>
        <w:ind w:start="2160" w:end="0"/>
        <w:jc w:val="both"/>
        <w:rPr/>
      </w:pPr>
      <w:r>
        <w:rPr/>
        <w:br/>
        <w:t>My Commission Expires:  _________________________</w:t>
      </w:r>
    </w:p>
    <w:p>
      <w:pPr>
        <w:pStyle w:val="Normal"/>
        <w:ind w:start="2160" w:end="0"/>
        <w:jc w:val="both"/>
        <w:rPr>
          <w:lang w:val="en-CA"/>
        </w:rPr>
      </w:pPr>
      <w:r>
        <w:rPr>
          <w:lang w:val="en-CA"/>
        </w:rPr>
      </w:r>
      <w:r>
        <w:br w:type="page"/>
      </w:r>
    </w:p>
    <w:p>
      <w:pPr>
        <w:pStyle w:val="Normal"/>
        <w:ind w:start="2160" w:end="0"/>
        <w:jc w:val="both"/>
        <w:rPr>
          <w:lang w:val="en-CA"/>
        </w:rPr>
      </w:pPr>
      <w:r>
        <w:rPr>
          <w:lang w:val="en-CA"/>
        </w:rPr>
      </w:r>
    </w:p>
    <w:p>
      <w:pPr>
        <w:pStyle w:val="Normal"/>
        <w:jc w:val="center"/>
        <w:rPr>
          <w:b/>
          <w:sz w:val="24"/>
        </w:rPr>
      </w:pPr>
      <w:r>
        <w:rPr>
          <w:b/>
          <w:sz w:val="24"/>
        </w:rPr>
        <w:t>APPENDIX</w:t>
      </w:r>
    </w:p>
    <w:p>
      <w:pPr>
        <w:pStyle w:val="Normal"/>
        <w:jc w:val="center"/>
        <w:rPr>
          <w:b/>
          <w:sz w:val="24"/>
        </w:rPr>
      </w:pPr>
      <w:r>
        <w:rPr>
          <w:b/>
          <w:sz w:val="24"/>
        </w:rPr>
        <w:t>GENERAL TERMS AND CONDITIONS</w:t>
      </w:r>
    </w:p>
    <w:p>
      <w:pPr>
        <w:pStyle w:val="Normal"/>
        <w:jc w:val="center"/>
        <w:rPr>
          <w:b/>
          <w:sz w:val="24"/>
        </w:rPr>
      </w:pPr>
      <w:r>
        <w:rPr>
          <w:b/>
          <w:sz w:val="24"/>
        </w:rPr>
        <w:t>APPLICABLE TO THE GAS GATHERING AGREEMENT</w:t>
      </w:r>
    </w:p>
    <w:p>
      <w:pPr>
        <w:pStyle w:val="Normal"/>
        <w:jc w:val="center"/>
        <w:rPr>
          <w:b/>
          <w:sz w:val="24"/>
        </w:rPr>
      </w:pPr>
      <w:r>
        <w:rPr>
          <w:b/>
          <w:sz w:val="24"/>
        </w:rPr>
        <w:t>BY AND BETWEEN LOST CREEK GATHERING COMPANY, L.L.C. AND</w:t>
      </w:r>
    </w:p>
    <w:p>
      <w:pPr>
        <w:pStyle w:val="Normal"/>
        <w:jc w:val="center"/>
        <w:rPr>
          <w:b/>
          <w:caps/>
          <w:sz w:val="24"/>
        </w:rPr>
      </w:pPr>
      <w:r>
        <w:rPr>
          <w:b/>
          <w:caps/>
          <w:sz w:val="24"/>
        </w:rPr>
        <w:t>north central oil CORPORATION</w:t>
      </w:r>
    </w:p>
    <w:p>
      <w:pPr>
        <w:pStyle w:val="Normal"/>
        <w:jc w:val="both"/>
        <w:rPr>
          <w:b/>
          <w:caps/>
          <w:sz w:val="24"/>
        </w:rPr>
      </w:pPr>
      <w:r>
        <w:rPr>
          <w:b/>
          <w:caps/>
          <w:sz w:val="24"/>
        </w:rPr>
      </w:r>
    </w:p>
    <w:p>
      <w:pPr>
        <w:pStyle w:val="Normal"/>
        <w:jc w:val="center"/>
        <w:rPr>
          <w:b/>
          <w:sz w:val="24"/>
        </w:rPr>
      </w:pPr>
      <w:r>
        <w:rPr>
          <w:b/>
          <w:sz w:val="24"/>
        </w:rPr>
        <w:t>ARTICLE I</w:t>
      </w:r>
    </w:p>
    <w:p>
      <w:pPr>
        <w:pStyle w:val="Normal"/>
        <w:jc w:val="center"/>
        <w:rPr>
          <w:sz w:val="24"/>
        </w:rPr>
      </w:pPr>
      <w:r>
        <w:rPr>
          <w:b/>
          <w:sz w:val="24"/>
          <w:u w:val="single"/>
        </w:rPr>
        <w:t>METHOD OF MEASUREMENT</w:t>
      </w:r>
    </w:p>
    <w:p>
      <w:pPr>
        <w:pStyle w:val="Normal"/>
        <w:jc w:val="center"/>
        <w:rPr>
          <w:b/>
          <w:sz w:val="24"/>
        </w:rPr>
      </w:pPr>
      <w:r>
        <w:rPr>
          <w:b/>
          <w:sz w:val="24"/>
        </w:rPr>
      </w:r>
    </w:p>
    <w:p>
      <w:pPr>
        <w:pStyle w:val="Normal"/>
        <w:numPr>
          <w:ilvl w:val="0"/>
          <w:numId w:val="2"/>
        </w:numPr>
        <w:jc w:val="both"/>
        <w:rPr>
          <w:sz w:val="24"/>
        </w:rPr>
      </w:pPr>
      <w:r>
        <w:rPr>
          <w:b/>
          <w:sz w:val="24"/>
          <w:u w:val="single"/>
        </w:rPr>
        <w:t>Unit of Measurement.</w:t>
      </w:r>
      <w:r>
        <w:rPr>
          <w:b/>
          <w:sz w:val="24"/>
        </w:rPr>
        <w:t xml:space="preserve">  </w:t>
      </w:r>
      <w:r>
        <w:rPr>
          <w:sz w:val="24"/>
        </w:rPr>
        <w:t>The unit of volume for the purpose of measurement shall be one (1) Mcf at Standard Pressure and at a temperature of sixty degrees Fahrenheit (60</w:t>
      </w:r>
      <w:r>
        <w:rPr>
          <w:position w:val="6"/>
          <w:sz w:val="24"/>
        </w:rPr>
        <w:t>o</w:t>
      </w:r>
      <w:r>
        <w:rPr>
          <w:sz w:val="24"/>
        </w:rPr>
        <w:t>F).  All readings and registrations of the metering equipment shall be computed into such unit of volume.  The unit of measurement for the purpose of receipt and delivery of Gas hereunder shall be one (1) MMBtu.</w:t>
      </w:r>
    </w:p>
    <w:p>
      <w:pPr>
        <w:pStyle w:val="Normal"/>
        <w:numPr>
          <w:ilvl w:val="0"/>
          <w:numId w:val="0"/>
        </w:numPr>
        <w:ind w:hanging="576" w:start="576" w:end="0"/>
        <w:jc w:val="both"/>
        <w:rPr>
          <w:sz w:val="24"/>
        </w:rPr>
      </w:pPr>
      <w:r>
        <w:rPr>
          <w:sz w:val="24"/>
        </w:rPr>
      </w:r>
    </w:p>
    <w:p>
      <w:pPr>
        <w:pStyle w:val="Normal"/>
        <w:numPr>
          <w:ilvl w:val="0"/>
          <w:numId w:val="2"/>
        </w:numPr>
        <w:jc w:val="both"/>
        <w:rPr>
          <w:sz w:val="24"/>
        </w:rPr>
      </w:pPr>
      <w:r>
        <w:rPr>
          <w:b/>
          <w:sz w:val="24"/>
          <w:u w:val="single"/>
        </w:rPr>
        <w:t>Basis of Measurement.</w:t>
      </w:r>
      <w:r>
        <w:rPr>
          <w:b/>
          <w:sz w:val="24"/>
        </w:rPr>
        <w:t xml:space="preserve">  </w:t>
      </w:r>
      <w:r>
        <w:rPr>
          <w:sz w:val="24"/>
        </w:rPr>
        <w:t>All orifice meter volumes shall be computed in accordance with ANSI/API 2530 Second Addition, published September, 1985, including the American Gas Association PAR Research Project NX-19 Manual, as revised from time to time.  Where measurement is by other than orifice meters, all necessary factors for proper volume determination shall be applied.  All orifice meter volumes shall be corrected for deviations from the ideal gas laws (supercompressibility) in accordance with the referenced ANSI/API 2530.  Where displacement meters are used, the square of the orifice meter supercompressibility factor shall be applied.  For the purpose of measurement, the atmospheric pressure shall be the actual average atmospheric pressure specified in this Agreement.</w:t>
      </w:r>
    </w:p>
    <w:p>
      <w:pPr>
        <w:pStyle w:val="Normal"/>
        <w:numPr>
          <w:ilvl w:val="0"/>
          <w:numId w:val="0"/>
        </w:numPr>
        <w:ind w:hanging="576" w:start="576" w:end="0"/>
        <w:jc w:val="both"/>
        <w:rPr>
          <w:sz w:val="24"/>
        </w:rPr>
      </w:pPr>
      <w:r>
        <w:rPr>
          <w:sz w:val="24"/>
        </w:rPr>
      </w:r>
    </w:p>
    <w:p>
      <w:pPr>
        <w:pStyle w:val="Normal"/>
        <w:numPr>
          <w:ilvl w:val="0"/>
          <w:numId w:val="2"/>
        </w:numPr>
        <w:jc w:val="both"/>
        <w:rPr>
          <w:sz w:val="24"/>
        </w:rPr>
      </w:pPr>
      <w:r>
        <w:rPr>
          <w:b/>
          <w:sz w:val="24"/>
          <w:u w:val="single"/>
        </w:rPr>
        <w:t>Determination of Heating Value and Specific Gravity.</w:t>
      </w:r>
      <w:r>
        <w:rPr>
          <w:b/>
          <w:sz w:val="24"/>
        </w:rPr>
        <w:t xml:space="preserve"> </w:t>
      </w:r>
      <w:r>
        <w:rPr>
          <w:sz w:val="24"/>
        </w:rPr>
        <w:t xml:space="preserve"> The Gross Heating Value and the specific gravity shall be determined at least annually for a gas sample of Shipper's Gas obtained at the Receipt Point(s).  The procedure for determining the Gross Heating Value and the specific gravity of the Gas from the Receipt Point(s) shall be as set forth in the referenced ANSI/API 2530.  The arithmetic average Gross Heating Value of the Gas during the chart period shall be used in computing any deficiency in Btu content of Gas delivered during such period.  The arithmetic average specific gravity of the Gas at such point(s) during the chart period shall be used in computing the delivery of Gas during such period at such point(s).  The Gross Heating Value shall be adjusted for the actual water vapor content of the Gas received by Lost Creek at the Receipt Point(s).</w:t>
      </w:r>
    </w:p>
    <w:p>
      <w:pPr>
        <w:pStyle w:val="Normal"/>
        <w:numPr>
          <w:ilvl w:val="0"/>
          <w:numId w:val="0"/>
        </w:numPr>
        <w:ind w:hanging="576" w:start="576" w:end="0"/>
        <w:jc w:val="both"/>
        <w:rPr>
          <w:sz w:val="24"/>
        </w:rPr>
      </w:pPr>
      <w:r>
        <w:rPr>
          <w:sz w:val="24"/>
        </w:rPr>
      </w:r>
    </w:p>
    <w:p>
      <w:pPr>
        <w:pStyle w:val="Normal"/>
        <w:numPr>
          <w:ilvl w:val="0"/>
          <w:numId w:val="2"/>
        </w:numPr>
        <w:jc w:val="both"/>
        <w:rPr>
          <w:sz w:val="24"/>
        </w:rPr>
      </w:pPr>
      <w:r>
        <w:rPr>
          <w:b/>
          <w:sz w:val="24"/>
          <w:u w:val="single"/>
        </w:rPr>
        <w:t>Determination of Flowing Temperature.</w:t>
      </w:r>
      <w:r>
        <w:rPr>
          <w:b/>
          <w:sz w:val="24"/>
        </w:rPr>
        <w:t xml:space="preserve">  </w:t>
      </w:r>
      <w:r>
        <w:rPr>
          <w:sz w:val="24"/>
        </w:rPr>
        <w:t>The temperature of Shipper's Gas flowing through a meter station shall be obtained by the use of a temperature recording device.  Where the quantities of Shipper's Gas metered will not be materially affected by so doing, the temperature at delivery shall be assumed to be sixty degrees Fahrenheit (60</w:t>
      </w:r>
      <w:r>
        <w:rPr>
          <w:position w:val="6"/>
          <w:sz w:val="24"/>
        </w:rPr>
        <w:t>o</w:t>
      </w:r>
      <w:r>
        <w:rPr>
          <w:sz w:val="24"/>
        </w:rPr>
        <w:t>F) when not regularly measured.</w:t>
      </w:r>
    </w:p>
    <w:p>
      <w:pPr>
        <w:pStyle w:val="Normal"/>
        <w:numPr>
          <w:ilvl w:val="0"/>
          <w:numId w:val="0"/>
        </w:numPr>
        <w:ind w:hanging="576" w:start="576" w:end="0"/>
        <w:jc w:val="both"/>
        <w:rPr>
          <w:sz w:val="24"/>
        </w:rPr>
      </w:pPr>
      <w:r>
        <w:rPr>
          <w:sz w:val="24"/>
        </w:rPr>
      </w:r>
    </w:p>
    <w:p>
      <w:pPr>
        <w:pStyle w:val="Normal"/>
        <w:numPr>
          <w:ilvl w:val="0"/>
          <w:numId w:val="2"/>
        </w:numPr>
        <w:jc w:val="both"/>
        <w:rPr>
          <w:sz w:val="24"/>
        </w:rPr>
      </w:pPr>
      <w:r>
        <w:rPr>
          <w:b/>
          <w:sz w:val="24"/>
          <w:u w:val="single"/>
        </w:rPr>
        <w:t>Atmospheric Pressure.</w:t>
      </w:r>
      <w:r>
        <w:rPr>
          <w:b/>
          <w:sz w:val="24"/>
        </w:rPr>
        <w:t xml:space="preserve">  </w:t>
      </w:r>
      <w:r>
        <w:rPr>
          <w:sz w:val="24"/>
        </w:rPr>
        <w:t>The atmospheric pressure shall be assumed to be Standard Pressure, irrespective of the actual elevation of the measuring station(s) above sea level or variations in atmospheric pressure that may occur from time to time.</w:t>
      </w:r>
    </w:p>
    <w:p>
      <w:pPr>
        <w:pStyle w:val="Normal"/>
        <w:jc w:val="both"/>
        <w:rPr>
          <w:sz w:val="24"/>
        </w:rPr>
      </w:pPr>
      <w:r>
        <w:rPr>
          <w:sz w:val="24"/>
        </w:rPr>
      </w:r>
    </w:p>
    <w:p>
      <w:pPr>
        <w:pStyle w:val="Normal"/>
        <w:jc w:val="center"/>
        <w:rPr>
          <w:sz w:val="24"/>
        </w:rPr>
      </w:pPr>
      <w:r>
        <w:rPr>
          <w:b/>
          <w:sz w:val="24"/>
        </w:rPr>
        <w:t>ARTICLE II</w:t>
      </w:r>
    </w:p>
    <w:p>
      <w:pPr>
        <w:pStyle w:val="Normal"/>
        <w:jc w:val="center"/>
        <w:rPr>
          <w:sz w:val="24"/>
        </w:rPr>
      </w:pPr>
      <w:r>
        <w:rPr>
          <w:b/>
          <w:sz w:val="24"/>
          <w:u w:val="single"/>
        </w:rPr>
        <w:t>MEASUREMENT EQUIPMENT</w:t>
      </w:r>
    </w:p>
    <w:p>
      <w:pPr>
        <w:pStyle w:val="Normal"/>
        <w:jc w:val="both"/>
        <w:rPr>
          <w:sz w:val="24"/>
        </w:rPr>
      </w:pPr>
      <w:r>
        <w:rPr>
          <w:sz w:val="24"/>
        </w:rPr>
      </w:r>
    </w:p>
    <w:p>
      <w:pPr>
        <w:pStyle w:val="Normal"/>
        <w:numPr>
          <w:ilvl w:val="0"/>
          <w:numId w:val="3"/>
        </w:numPr>
        <w:jc w:val="both"/>
        <w:rPr>
          <w:sz w:val="24"/>
        </w:rPr>
      </w:pPr>
      <w:r>
        <w:rPr>
          <w:b/>
          <w:sz w:val="24"/>
          <w:u w:val="single"/>
        </w:rPr>
        <w:t>Installation and Operation by Lost Creek.</w:t>
      </w:r>
      <w:r>
        <w:rPr>
          <w:b/>
          <w:sz w:val="24"/>
        </w:rPr>
        <w:t xml:space="preserve">  </w:t>
      </w:r>
      <w:r>
        <w:rPr>
          <w:sz w:val="24"/>
        </w:rPr>
        <w:t xml:space="preserve">Lost Creek shall install, own, maintain and operate </w:t>
      </w:r>
      <w:r>
        <w:rPr>
          <w:b/>
          <w:sz w:val="24"/>
        </w:rPr>
        <w:t>(i)</w:t>
      </w:r>
      <w:r>
        <w:rPr>
          <w:sz w:val="24"/>
        </w:rPr>
        <w:t xml:space="preserve"> a measuring station at or near the Receipt Point(s) and Delivery Point(s) properly equipped with orifice meters or other meters of a standard type and other necessary equipment by which the volumes and Btu content of Shipper's Gas delivered hereunder shall be measured for the purposes of this Agreement and </w:t>
      </w:r>
      <w:r>
        <w:rPr>
          <w:b/>
          <w:sz w:val="24"/>
        </w:rPr>
        <w:t>(ii)</w:t>
      </w:r>
      <w:r>
        <w:rPr>
          <w:sz w:val="24"/>
        </w:rPr>
        <w:t xml:space="preserve"> all tie line(s) and other appurtenances.  The cost and expense of installing such measuring station(s) at the Receipt Point(s) shall be borne by and chargeable to Shipper and Shipper shall pay Lost Creek for such costs and expenses within thirty (30) Days of invoice thereof.  Where used, orifice meters installed at the Receipt Point(s) shall employ flange taps and shall be installed and operated in accordance with the referenced ANSI/API 2530.  Any new method or technique that has been developed and accepted by the gas industry with respect to gas measurement or the determination of the factors used in such gas measurement may be substituted for the gas measurement set forth in this Article upon agreement thereto by Lost Creek and Shipper.  This shall include flow computers and on stream continuous recording chromatographs.</w:t>
      </w:r>
    </w:p>
    <w:p>
      <w:pPr>
        <w:pStyle w:val="Normal"/>
        <w:numPr>
          <w:ilvl w:val="0"/>
          <w:numId w:val="0"/>
        </w:numPr>
        <w:ind w:hanging="576" w:start="576" w:end="0"/>
        <w:jc w:val="both"/>
        <w:rPr>
          <w:sz w:val="24"/>
        </w:rPr>
      </w:pPr>
      <w:r>
        <w:rPr>
          <w:sz w:val="24"/>
        </w:rPr>
      </w:r>
    </w:p>
    <w:p>
      <w:pPr>
        <w:pStyle w:val="Normal"/>
        <w:numPr>
          <w:ilvl w:val="0"/>
          <w:numId w:val="3"/>
        </w:numPr>
        <w:jc w:val="both"/>
        <w:rPr>
          <w:sz w:val="24"/>
        </w:rPr>
      </w:pPr>
      <w:r>
        <w:rPr>
          <w:b/>
          <w:sz w:val="24"/>
          <w:u w:val="single"/>
        </w:rPr>
        <w:t>Installation and Operation by Shipper.</w:t>
      </w:r>
      <w:r>
        <w:rPr>
          <w:b/>
          <w:sz w:val="24"/>
        </w:rPr>
        <w:t xml:space="preserve">  </w:t>
      </w:r>
      <w:r>
        <w:rPr>
          <w:sz w:val="24"/>
        </w:rPr>
        <w:t>Shipper may install, maintain and operate at its own cost, risk and expense, at the Receipt Point(s), check meters and other necessary equipment by which the quantity of Shipper's Gas delivered to Lost Creek may be measured; provided, however, that the check meters and other equipment shall be installed by Lost Creek, unless otherwise mutually agreed between the parties, and shall not interfere with the operation of any of Lost Creek's facilities.  Where used, orifice meters shall employ flange taps and shall be installed and operated in accordance with the referenced ANSI/API 2530.</w:t>
      </w:r>
    </w:p>
    <w:p>
      <w:pPr>
        <w:pStyle w:val="Normal"/>
        <w:numPr>
          <w:ilvl w:val="0"/>
          <w:numId w:val="0"/>
        </w:numPr>
        <w:ind w:hanging="576" w:start="576" w:end="0"/>
        <w:jc w:val="both"/>
        <w:rPr>
          <w:sz w:val="24"/>
        </w:rPr>
      </w:pPr>
      <w:r>
        <w:rPr>
          <w:sz w:val="24"/>
        </w:rPr>
      </w:r>
    </w:p>
    <w:p>
      <w:pPr>
        <w:pStyle w:val="Normal"/>
        <w:numPr>
          <w:ilvl w:val="0"/>
          <w:numId w:val="3"/>
        </w:numPr>
        <w:jc w:val="both"/>
        <w:rPr>
          <w:sz w:val="24"/>
        </w:rPr>
      </w:pPr>
      <w:r>
        <w:rPr>
          <w:b/>
          <w:sz w:val="24"/>
          <w:u w:val="single"/>
        </w:rPr>
        <w:t>Non-interference.</w:t>
      </w:r>
      <w:r>
        <w:rPr>
          <w:b/>
          <w:sz w:val="24"/>
        </w:rPr>
        <w:t xml:space="preserve">  </w:t>
      </w:r>
      <w:r>
        <w:rPr>
          <w:sz w:val="24"/>
        </w:rPr>
        <w:t>Measuring equipment applying to or affecting deliveries shall be installed in such manner as to permit an accurate determination of the quantity of Gas delivered and ready verification of the accuracy of measurement.  The parties shall exercise care in installation, maintenance and operation of check measuring or pressure regulating equipment or gas compressors, pulsation dampening or liquid separation devices as may be required by Lost Creek so as to prevent any inaccuracy in the determination of the quantity of Gas being measured or damage to the System.</w:t>
      </w:r>
    </w:p>
    <w:p>
      <w:pPr>
        <w:pStyle w:val="Normal"/>
        <w:numPr>
          <w:ilvl w:val="0"/>
          <w:numId w:val="0"/>
        </w:numPr>
        <w:ind w:hanging="576" w:start="576" w:end="0"/>
        <w:jc w:val="both"/>
        <w:rPr>
          <w:sz w:val="24"/>
        </w:rPr>
      </w:pPr>
      <w:r>
        <w:rPr>
          <w:sz w:val="24"/>
        </w:rPr>
      </w:r>
    </w:p>
    <w:p>
      <w:pPr>
        <w:pStyle w:val="Normal"/>
        <w:numPr>
          <w:ilvl w:val="0"/>
          <w:numId w:val="3"/>
        </w:numPr>
        <w:jc w:val="both"/>
        <w:rPr>
          <w:sz w:val="24"/>
        </w:rPr>
      </w:pPr>
      <w:r>
        <w:rPr>
          <w:b/>
          <w:sz w:val="24"/>
          <w:u w:val="single"/>
        </w:rPr>
        <w:t>Calibration and Test of Measurement Equipment.</w:t>
      </w:r>
      <w:r>
        <w:rPr>
          <w:b/>
          <w:sz w:val="24"/>
        </w:rPr>
        <w:t xml:space="preserve">  </w:t>
      </w:r>
      <w:r>
        <w:rPr>
          <w:sz w:val="24"/>
        </w:rPr>
        <w:t>Each party shall have the right to have representatives present at the time of any installing, cleaning, changing, repairing, inspecting, testing, calibrating or adjusting done in connection with the other party's measuring equipment, including calorimeters, used in the measurement of deliveries of Gas.  The accuracy of Lost Creek's measuring equipment, including calorimeters shall be verified at least quarterly or as governing regulations require.  In the event either party shall notify the other that it desires a special test of the measuring equipment or of the check measuring equipment, as the case may be, the parties shall cooperate to secure prompt verification of the accuracy of such equipment.  Each party shall give to the other party sufficient advance notice of the time of all such special tests so that the other party may conveniently have its representatives present.</w:t>
      </w:r>
    </w:p>
    <w:p>
      <w:pPr>
        <w:pStyle w:val="Normal"/>
        <w:numPr>
          <w:ilvl w:val="0"/>
          <w:numId w:val="0"/>
        </w:numPr>
        <w:ind w:hanging="576" w:start="576" w:end="0"/>
        <w:jc w:val="both"/>
        <w:rPr>
          <w:sz w:val="24"/>
        </w:rPr>
      </w:pPr>
      <w:r>
        <w:rPr>
          <w:sz w:val="24"/>
        </w:rPr>
      </w:r>
    </w:p>
    <w:p>
      <w:pPr>
        <w:pStyle w:val="Normal"/>
        <w:numPr>
          <w:ilvl w:val="0"/>
          <w:numId w:val="3"/>
        </w:numPr>
        <w:jc w:val="both"/>
        <w:rPr>
          <w:sz w:val="24"/>
        </w:rPr>
      </w:pPr>
      <w:r>
        <w:rPr>
          <w:b/>
          <w:sz w:val="24"/>
          <w:u w:val="single"/>
        </w:rPr>
        <w:t>Records.</w:t>
      </w:r>
      <w:r>
        <w:rPr>
          <w:b/>
          <w:sz w:val="24"/>
        </w:rPr>
        <w:t xml:space="preserve">  </w:t>
      </w:r>
      <w:r>
        <w:rPr>
          <w:sz w:val="24"/>
        </w:rPr>
        <w:t>Upon request of either party, the other shall submit the records from its measuring equipment used in the measurement and billing of Shipper's Gas hereunder, together with calculations therefrom, for inspection and verification.  All records shall be returned within thirty (30) Days after receipt.  The parties shall preserve all test data and other data pertaining to the measurement of Shipper's Gas by their respective measurement equipment for a period of two (2) year or such other period or periods as may be prescribed with respect to them by regulatory bodies having jurisdiction.</w:t>
      </w:r>
    </w:p>
    <w:p>
      <w:pPr>
        <w:pStyle w:val="Normal"/>
        <w:numPr>
          <w:ilvl w:val="0"/>
          <w:numId w:val="0"/>
        </w:numPr>
        <w:ind w:hanging="576" w:start="576" w:end="0"/>
        <w:jc w:val="both"/>
        <w:rPr>
          <w:sz w:val="24"/>
        </w:rPr>
      </w:pPr>
      <w:r>
        <w:rPr>
          <w:sz w:val="24"/>
        </w:rPr>
      </w:r>
    </w:p>
    <w:p>
      <w:pPr>
        <w:pStyle w:val="Normal"/>
        <w:numPr>
          <w:ilvl w:val="0"/>
          <w:numId w:val="3"/>
        </w:numPr>
        <w:jc w:val="both"/>
        <w:rPr>
          <w:sz w:val="24"/>
        </w:rPr>
      </w:pPr>
      <w:r>
        <w:rPr>
          <w:b/>
          <w:sz w:val="24"/>
          <w:u w:val="single"/>
        </w:rPr>
        <w:t>Correction of Metering Errors.</w:t>
      </w:r>
      <w:r>
        <w:rPr>
          <w:b/>
          <w:sz w:val="24"/>
        </w:rPr>
        <w:t xml:space="preserve">  </w:t>
      </w:r>
      <w:r>
        <w:rPr>
          <w:sz w:val="24"/>
        </w:rPr>
        <w:t>If, upon testing, the measuring equipment is found to be in error by not more than one percent (1.0%), previous recordings of such equipment shall be considered accurate in computing deliveries, but such equipment shall be adjusted at once to record accurately.  If, upon test, the measuring equipment shall be found to be inaccurate by an amount exceeding one percent (1.0%) at a recording corresponding to the average hourly rate of flow for the period since the last preceding test, then any previous recordings of such equipment shall be corrected to zero error for any period that is definitely known or agreed upon.  In case the period is not definitely known or agreed upon, such correction shall be for a period equal to one-half of the time elapsed since the date of the last test.</w:t>
      </w:r>
    </w:p>
    <w:p>
      <w:pPr>
        <w:pStyle w:val="Normal"/>
        <w:numPr>
          <w:ilvl w:val="0"/>
          <w:numId w:val="0"/>
        </w:numPr>
        <w:ind w:hanging="576" w:start="576" w:end="0"/>
        <w:jc w:val="both"/>
        <w:rPr>
          <w:sz w:val="24"/>
        </w:rPr>
      </w:pPr>
      <w:r>
        <w:rPr>
          <w:sz w:val="24"/>
        </w:rPr>
      </w:r>
    </w:p>
    <w:p>
      <w:pPr>
        <w:pStyle w:val="Normal"/>
        <w:numPr>
          <w:ilvl w:val="0"/>
          <w:numId w:val="3"/>
        </w:numPr>
        <w:jc w:val="both"/>
        <w:rPr>
          <w:sz w:val="24"/>
        </w:rPr>
      </w:pPr>
      <w:r>
        <w:rPr>
          <w:b/>
          <w:sz w:val="24"/>
          <w:u w:val="single"/>
        </w:rPr>
        <w:t>Failure of Meters.</w:t>
      </w:r>
      <w:r>
        <w:rPr>
          <w:b/>
          <w:sz w:val="24"/>
        </w:rPr>
        <w:t xml:space="preserve">  </w:t>
      </w:r>
      <w:r>
        <w:rPr>
          <w:sz w:val="24"/>
        </w:rPr>
        <w:t>In the event a meter is out of service or registering inaccurately, the quantity of Gas delivered shall be determined:</w:t>
      </w:r>
    </w:p>
    <w:p>
      <w:pPr>
        <w:pStyle w:val="Normal"/>
        <w:numPr>
          <w:ilvl w:val="0"/>
          <w:numId w:val="0"/>
        </w:numPr>
        <w:ind w:hanging="576" w:start="576" w:end="0"/>
        <w:jc w:val="both"/>
        <w:rPr>
          <w:b/>
          <w:sz w:val="24"/>
        </w:rPr>
      </w:pPr>
      <w:r>
        <w:rPr>
          <w:b/>
          <w:sz w:val="24"/>
        </w:rPr>
      </w:r>
    </w:p>
    <w:p>
      <w:pPr>
        <w:pStyle w:val="Normal"/>
        <w:numPr>
          <w:ilvl w:val="0"/>
          <w:numId w:val="0"/>
        </w:numPr>
        <w:tabs>
          <w:tab w:val="clear" w:pos="720"/>
          <w:tab w:val="left" w:pos="1080" w:leader="none"/>
        </w:tabs>
        <w:ind w:hanging="576" w:start="1116" w:end="0"/>
        <w:jc w:val="both"/>
        <w:rPr>
          <w:sz w:val="24"/>
        </w:rPr>
      </w:pPr>
      <w:r>
        <w:rPr>
          <w:sz w:val="24"/>
        </w:rPr>
        <w:t>(i)</w:t>
        <w:tab/>
        <w:t>By correcting the error if the percentage of error is ascertainable by calibration, test or</w:t>
      </w:r>
    </w:p>
    <w:p>
      <w:pPr>
        <w:pStyle w:val="Normal"/>
        <w:numPr>
          <w:ilvl w:val="0"/>
          <w:numId w:val="0"/>
        </w:numPr>
        <w:ind w:hanging="0" w:start="540" w:end="0"/>
        <w:jc w:val="both"/>
        <w:rPr>
          <w:sz w:val="24"/>
        </w:rPr>
      </w:pPr>
      <w:r>
        <w:rPr>
          <w:sz w:val="24"/>
        </w:rPr>
        <w:t>mathematical calculations; or in the absence of (i), then</w:t>
      </w:r>
    </w:p>
    <w:p>
      <w:pPr>
        <w:pStyle w:val="Normal"/>
        <w:numPr>
          <w:ilvl w:val="0"/>
          <w:numId w:val="0"/>
        </w:numPr>
        <w:ind w:hanging="576" w:start="576" w:end="0"/>
        <w:jc w:val="both"/>
        <w:rPr>
          <w:sz w:val="24"/>
        </w:rPr>
      </w:pPr>
      <w:r>
        <w:rPr>
          <w:sz w:val="24"/>
        </w:rPr>
      </w:r>
    </w:p>
    <w:p>
      <w:pPr>
        <w:pStyle w:val="Normal"/>
        <w:numPr>
          <w:ilvl w:val="0"/>
          <w:numId w:val="0"/>
        </w:numPr>
        <w:tabs>
          <w:tab w:val="clear" w:pos="720"/>
          <w:tab w:val="left" w:pos="1080" w:leader="none"/>
        </w:tabs>
        <w:ind w:hanging="576" w:start="1116" w:end="0"/>
        <w:jc w:val="both"/>
        <w:rPr>
          <w:sz w:val="24"/>
        </w:rPr>
      </w:pPr>
      <w:r>
        <w:rPr>
          <w:sz w:val="24"/>
        </w:rPr>
        <w:t>(ii)</w:t>
        <w:tab/>
        <w:t>By using the registration of any check meter or meters, if installed and accurately</w:t>
      </w:r>
    </w:p>
    <w:p>
      <w:pPr>
        <w:pStyle w:val="Normal"/>
        <w:numPr>
          <w:ilvl w:val="0"/>
          <w:numId w:val="0"/>
        </w:numPr>
        <w:ind w:hanging="0" w:start="540" w:end="0"/>
        <w:jc w:val="both"/>
        <w:rPr>
          <w:sz w:val="24"/>
        </w:rPr>
      </w:pPr>
      <w:r>
        <w:rPr>
          <w:sz w:val="24"/>
        </w:rPr>
        <w:t>registering; or in the absence of both (i) and (ii), then</w:t>
      </w:r>
    </w:p>
    <w:p>
      <w:pPr>
        <w:pStyle w:val="Normal"/>
        <w:numPr>
          <w:ilvl w:val="0"/>
          <w:numId w:val="0"/>
        </w:numPr>
        <w:ind w:hanging="576" w:start="576" w:end="0"/>
        <w:jc w:val="both"/>
        <w:rPr>
          <w:sz w:val="24"/>
        </w:rPr>
      </w:pPr>
      <w:r>
        <w:rPr>
          <w:sz w:val="24"/>
        </w:rPr>
      </w:r>
    </w:p>
    <w:p>
      <w:pPr>
        <w:pStyle w:val="Normal"/>
        <w:numPr>
          <w:ilvl w:val="0"/>
          <w:numId w:val="0"/>
        </w:numPr>
        <w:tabs>
          <w:tab w:val="clear" w:pos="720"/>
          <w:tab w:val="left" w:pos="1080" w:leader="none"/>
        </w:tabs>
        <w:ind w:hanging="576" w:start="1116" w:end="0"/>
        <w:jc w:val="both"/>
        <w:rPr>
          <w:sz w:val="24"/>
        </w:rPr>
      </w:pPr>
      <w:r>
        <w:rPr>
          <w:sz w:val="24"/>
        </w:rPr>
        <w:t>(iii)</w:t>
        <w:tab/>
        <w:t>By estimating the quantity of delivery during periods under similar conditions when</w:t>
      </w:r>
    </w:p>
    <w:p>
      <w:pPr>
        <w:pStyle w:val="Normal"/>
        <w:numPr>
          <w:ilvl w:val="0"/>
          <w:numId w:val="0"/>
        </w:numPr>
        <w:ind w:hanging="0" w:start="540" w:end="0"/>
        <w:jc w:val="both"/>
        <w:rPr>
          <w:sz w:val="24"/>
        </w:rPr>
      </w:pPr>
      <w:r>
        <w:rPr>
          <w:sz w:val="24"/>
        </w:rPr>
        <w:t>the meter was registering accurately.</w:t>
      </w:r>
    </w:p>
    <w:p>
      <w:pPr>
        <w:pStyle w:val="Normal"/>
        <w:numPr>
          <w:ilvl w:val="0"/>
          <w:numId w:val="0"/>
        </w:numPr>
        <w:ind w:hanging="0" w:start="0"/>
        <w:jc w:val="both"/>
        <w:rPr>
          <w:sz w:val="24"/>
        </w:rPr>
      </w:pPr>
      <w:r>
        <w:rPr>
          <w:sz w:val="24"/>
        </w:rPr>
      </w:r>
    </w:p>
    <w:p>
      <w:pPr>
        <w:pStyle w:val="Normal"/>
        <w:numPr>
          <w:ilvl w:val="0"/>
          <w:numId w:val="3"/>
        </w:numPr>
        <w:jc w:val="both"/>
        <w:rPr>
          <w:sz w:val="24"/>
        </w:rPr>
      </w:pPr>
      <w:r>
        <w:rPr>
          <w:b/>
          <w:sz w:val="24"/>
          <w:u w:val="single"/>
        </w:rPr>
        <w:t>Access to Measuring Equipment.</w:t>
      </w:r>
      <w:r>
        <w:rPr>
          <w:b/>
          <w:sz w:val="24"/>
        </w:rPr>
        <w:t xml:space="preserve">  </w:t>
      </w:r>
      <w:r>
        <w:rPr>
          <w:sz w:val="24"/>
        </w:rPr>
        <w:t xml:space="preserve">Whenever any Receipt Point(s) or Delivery Point(s) provided for is on the premises of one party, the other party shall have the right of free use and ingress and egress at all reasonable times for the purpose of installation, operation, repair or removal of measuring equipment.  In the event check measuring equipment is installed, the other party shall have access to the same at all reasonable times, but the reading, calibration and adjusting thereof shall be done only by the party installing the check measuring equipment.  If Lost Creek elects to use flow computers in lieu of circular chart recorders, a cumulative volume display shall be provided at the meter. </w:t>
      </w:r>
    </w:p>
    <w:p>
      <w:pPr>
        <w:pStyle w:val="Normal"/>
        <w:jc w:val="both"/>
        <w:rPr>
          <w:sz w:val="24"/>
        </w:rPr>
      </w:pPr>
      <w:r>
        <w:rPr>
          <w:sz w:val="24"/>
        </w:rPr>
      </w:r>
    </w:p>
    <w:p>
      <w:pPr>
        <w:pStyle w:val="Normal"/>
        <w:jc w:val="center"/>
        <w:rPr>
          <w:sz w:val="24"/>
        </w:rPr>
      </w:pPr>
      <w:r>
        <w:rPr>
          <w:b/>
          <w:sz w:val="24"/>
        </w:rPr>
        <w:t>ARTICLE III</w:t>
      </w:r>
    </w:p>
    <w:p>
      <w:pPr>
        <w:pStyle w:val="Normal"/>
        <w:jc w:val="center"/>
        <w:rPr>
          <w:sz w:val="24"/>
        </w:rPr>
      </w:pPr>
      <w:r>
        <w:rPr>
          <w:b/>
          <w:sz w:val="24"/>
          <w:u w:val="single"/>
        </w:rPr>
        <w:t>QUALITY</w:t>
      </w:r>
    </w:p>
    <w:p>
      <w:pPr>
        <w:pStyle w:val="Normal"/>
        <w:jc w:val="both"/>
        <w:rPr>
          <w:sz w:val="24"/>
        </w:rPr>
      </w:pPr>
      <w:r>
        <w:rPr>
          <w:sz w:val="24"/>
        </w:rPr>
      </w:r>
    </w:p>
    <w:p>
      <w:pPr>
        <w:pStyle w:val="Normal"/>
        <w:numPr>
          <w:ilvl w:val="0"/>
          <w:numId w:val="4"/>
        </w:numPr>
        <w:jc w:val="both"/>
        <w:rPr>
          <w:sz w:val="24"/>
        </w:rPr>
      </w:pPr>
      <w:r>
        <w:rPr>
          <w:sz w:val="24"/>
        </w:rPr>
        <w:t>All Shipper's Gas Tendered to Lost Creek at the Receipt Point(s) by Shipper shall conform to the following specifications pursuant to the provisions of Article V of this Agreement:</w:t>
      </w:r>
    </w:p>
    <w:p>
      <w:pPr>
        <w:pStyle w:val="Normal"/>
        <w:ind w:start="1440" w:end="0"/>
        <w:jc w:val="both"/>
        <w:rPr>
          <w:sz w:val="24"/>
        </w:rPr>
      </w:pPr>
      <w:r>
        <w:rPr>
          <w:sz w:val="24"/>
        </w:rPr>
      </w:r>
    </w:p>
    <w:p>
      <w:pPr>
        <w:pStyle w:val="Normal"/>
        <w:numPr>
          <w:ilvl w:val="0"/>
          <w:numId w:val="8"/>
        </w:numPr>
        <w:jc w:val="both"/>
        <w:rPr>
          <w:sz w:val="24"/>
        </w:rPr>
      </w:pPr>
      <w:r>
        <w:rPr>
          <w:sz w:val="24"/>
        </w:rPr>
        <w:t>Having a total heating value of not less that nine hundred fifty (950) Btu’s per cubic foot;</w:t>
      </w:r>
    </w:p>
    <w:p>
      <w:pPr>
        <w:pStyle w:val="Normal"/>
        <w:ind w:start="1440" w:end="0"/>
        <w:jc w:val="both"/>
        <w:rPr>
          <w:sz w:val="24"/>
        </w:rPr>
      </w:pPr>
      <w:r>
        <w:rPr>
          <w:sz w:val="24"/>
        </w:rPr>
      </w:r>
    </w:p>
    <w:p>
      <w:pPr>
        <w:pStyle w:val="Normal"/>
        <w:numPr>
          <w:ilvl w:val="0"/>
          <w:numId w:val="8"/>
        </w:numPr>
        <w:jc w:val="both"/>
        <w:rPr>
          <w:sz w:val="24"/>
        </w:rPr>
      </w:pPr>
      <w:r>
        <w:rPr>
          <w:sz w:val="24"/>
        </w:rPr>
        <w:t>Be commercially free of all dust, non-vaporous hydrocarbon liquids, non-vaporous water, suspended matter, all gums and gum forming constituents any other objectionable substances;</w:t>
      </w:r>
    </w:p>
    <w:p>
      <w:pPr>
        <w:pStyle w:val="Normal"/>
        <w:jc w:val="both"/>
        <w:rPr>
          <w:sz w:val="24"/>
        </w:rPr>
      </w:pPr>
      <w:r>
        <w:rPr>
          <w:sz w:val="24"/>
        </w:rPr>
      </w:r>
    </w:p>
    <w:p>
      <w:pPr>
        <w:pStyle w:val="Normal"/>
        <w:numPr>
          <w:ilvl w:val="0"/>
          <w:numId w:val="8"/>
        </w:numPr>
        <w:jc w:val="both"/>
        <w:rPr>
          <w:sz w:val="24"/>
        </w:rPr>
      </w:pPr>
      <w:r>
        <w:rPr>
          <w:sz w:val="24"/>
        </w:rPr>
        <w:t>Contain not more that five (5) grains of total sulfur, nor more than one-fourth (1/4) grain of hydrogen sulfide per one hundred (100) standard cubic feet;</w:t>
      </w:r>
    </w:p>
    <w:p>
      <w:pPr>
        <w:pStyle w:val="Normal"/>
        <w:ind w:start="1440" w:end="0"/>
        <w:jc w:val="both"/>
        <w:rPr>
          <w:sz w:val="24"/>
        </w:rPr>
      </w:pPr>
      <w:r>
        <w:rPr>
          <w:sz w:val="24"/>
        </w:rPr>
      </w:r>
    </w:p>
    <w:p>
      <w:pPr>
        <w:pStyle w:val="Normal"/>
        <w:numPr>
          <w:ilvl w:val="0"/>
          <w:numId w:val="8"/>
        </w:numPr>
        <w:jc w:val="both"/>
        <w:rPr>
          <w:sz w:val="24"/>
        </w:rPr>
      </w:pPr>
      <w:r>
        <w:rPr>
          <w:sz w:val="24"/>
        </w:rPr>
        <w:t>Not contain more than three percent (3%) by volume of carbon dioxide, ten parts per million (10 ppm) by volume of oxygen or five percent (5%) by volume of total inerts;</w:t>
      </w:r>
    </w:p>
    <w:p>
      <w:pPr>
        <w:pStyle w:val="Normal"/>
        <w:jc w:val="both"/>
        <w:rPr>
          <w:sz w:val="24"/>
        </w:rPr>
      </w:pPr>
      <w:r>
        <w:rPr>
          <w:sz w:val="24"/>
        </w:rPr>
      </w:r>
    </w:p>
    <w:p>
      <w:pPr>
        <w:pStyle w:val="Normal"/>
        <w:numPr>
          <w:ilvl w:val="0"/>
          <w:numId w:val="8"/>
        </w:numPr>
        <w:jc w:val="both"/>
        <w:rPr>
          <w:sz w:val="24"/>
        </w:rPr>
      </w:pPr>
      <w:r>
        <w:rPr>
          <w:sz w:val="24"/>
        </w:rPr>
        <w:t>Have a temperature of not less than forty degrees Fahrenheit (40</w:t>
      </w:r>
      <w:r>
        <w:rPr>
          <w:rFonts w:eastAsia="Symbol" w:cs="Symbol" w:ascii="Symbol" w:hAnsi="Symbol"/>
          <w:sz w:val="24"/>
        </w:rPr>
        <w:sym w:font="Symbol" w:char="f0b0"/>
      </w:r>
      <w:r>
        <w:rPr>
          <w:sz w:val="24"/>
        </w:rPr>
        <w:t>F) nor greater than one hundred twenty degrees Fahrenheit (120</w:t>
      </w:r>
      <w:r>
        <w:rPr>
          <w:rFonts w:eastAsia="Symbol" w:cs="Symbol" w:ascii="Symbol" w:hAnsi="Symbol"/>
          <w:sz w:val="24"/>
        </w:rPr>
        <w:sym w:font="Symbol" w:char="f0b0"/>
      </w:r>
      <w:r>
        <w:rPr>
          <w:sz w:val="24"/>
        </w:rPr>
        <w:t>F); and</w:t>
      </w:r>
    </w:p>
    <w:p>
      <w:pPr>
        <w:pStyle w:val="Normal"/>
        <w:jc w:val="both"/>
        <w:rPr>
          <w:sz w:val="24"/>
        </w:rPr>
      </w:pPr>
      <w:r>
        <w:rPr>
          <w:sz w:val="24"/>
        </w:rPr>
      </w:r>
    </w:p>
    <w:p>
      <w:pPr>
        <w:pStyle w:val="Normal"/>
        <w:numPr>
          <w:ilvl w:val="0"/>
          <w:numId w:val="8"/>
        </w:numPr>
        <w:jc w:val="both"/>
        <w:rPr>
          <w:sz w:val="24"/>
        </w:rPr>
      </w:pPr>
      <w:r>
        <w:rPr>
          <w:sz w:val="24"/>
        </w:rPr>
        <w:t>Not contain more than seven (7) pounds of entrained water vapor per million cubic feet.</w:t>
      </w:r>
    </w:p>
    <w:p>
      <w:pPr>
        <w:pStyle w:val="Normal"/>
        <w:jc w:val="center"/>
        <w:rPr>
          <w:b/>
          <w:sz w:val="24"/>
        </w:rPr>
      </w:pPr>
      <w:r>
        <w:rPr>
          <w:b/>
          <w:sz w:val="24"/>
        </w:rPr>
      </w:r>
    </w:p>
    <w:p>
      <w:pPr>
        <w:pStyle w:val="Normal"/>
        <w:jc w:val="center"/>
        <w:rPr>
          <w:sz w:val="24"/>
        </w:rPr>
      </w:pPr>
      <w:r>
        <w:rPr>
          <w:b/>
          <w:sz w:val="24"/>
        </w:rPr>
        <w:t>ARTICLE IV</w:t>
      </w:r>
    </w:p>
    <w:p>
      <w:pPr>
        <w:pStyle w:val="Normal"/>
        <w:jc w:val="center"/>
        <w:rPr>
          <w:sz w:val="24"/>
        </w:rPr>
      </w:pPr>
      <w:r>
        <w:rPr>
          <w:b/>
          <w:sz w:val="24"/>
          <w:u w:val="single"/>
        </w:rPr>
        <w:t>BILLING AND PAYMENT</w:t>
      </w:r>
    </w:p>
    <w:p>
      <w:pPr>
        <w:pStyle w:val="Normal"/>
        <w:keepNext w:val="true"/>
        <w:jc w:val="both"/>
        <w:rPr>
          <w:sz w:val="24"/>
        </w:rPr>
      </w:pPr>
      <w:r>
        <w:rPr>
          <w:sz w:val="24"/>
        </w:rPr>
      </w:r>
    </w:p>
    <w:p>
      <w:pPr>
        <w:pStyle w:val="Normal"/>
        <w:numPr>
          <w:ilvl w:val="0"/>
          <w:numId w:val="10"/>
        </w:numPr>
        <w:jc w:val="both"/>
        <w:rPr>
          <w:sz w:val="24"/>
        </w:rPr>
      </w:pPr>
      <w:r>
        <w:rPr>
          <w:b/>
          <w:sz w:val="24"/>
          <w:u w:val="single"/>
        </w:rPr>
        <w:t>Fixed Fees</w:t>
      </w:r>
      <w:r>
        <w:rPr>
          <w:sz w:val="24"/>
        </w:rPr>
        <w:t>.  On or before the last</w:t>
      </w:r>
      <w:r>
        <w:rPr>
          <w:sz w:val="24"/>
          <w:vertAlign w:val="superscript"/>
        </w:rPr>
        <w:t xml:space="preserve"> </w:t>
      </w:r>
      <w:r>
        <w:rPr>
          <w:sz w:val="24"/>
        </w:rPr>
        <w:t>Day of each Month, during the Initial Term, Shipper shall pay the Fixed Gathering Fee for the Month, regardless of whether Lost Creek shall have issued an invoice or other manner of billing documentation with respect to same.</w:t>
      </w:r>
    </w:p>
    <w:p>
      <w:pPr>
        <w:pStyle w:val="Normal"/>
        <w:jc w:val="both"/>
        <w:rPr>
          <w:sz w:val="24"/>
        </w:rPr>
      </w:pPr>
      <w:r>
        <w:rPr>
          <w:sz w:val="24"/>
        </w:rPr>
      </w:r>
    </w:p>
    <w:p>
      <w:pPr>
        <w:pStyle w:val="Normal"/>
        <w:numPr>
          <w:ilvl w:val="0"/>
          <w:numId w:val="10"/>
        </w:numPr>
        <w:jc w:val="both"/>
        <w:rPr>
          <w:sz w:val="24"/>
        </w:rPr>
      </w:pPr>
      <w:r>
        <w:rPr>
          <w:b/>
          <w:sz w:val="24"/>
          <w:u w:val="single"/>
        </w:rPr>
        <w:t>Billing.</w:t>
      </w:r>
      <w:r>
        <w:rPr>
          <w:b/>
          <w:sz w:val="24"/>
        </w:rPr>
        <w:t xml:space="preserve">  </w:t>
      </w:r>
      <w:r>
        <w:rPr>
          <w:sz w:val="24"/>
        </w:rPr>
        <w:t>On or before the fifteenth (15th) Day of each Month following the initiation of Gathering Services hereunder, including but not limited to, Gathering Services, measurement station(s), well tie line(s), taps and other appurtenances, Lost Creek shall mail to Shipper an invoice evidencing the amount due for the Variable Services Fee, any other Fees or other costs, expenses and charges rendered to Shipper under this Agreement during the preceding Month.  When Shipper is in control of information required by Lost Creek to prepare invoices, Shipper shall cause such information to be received by Lost Creek on or before the tenth (10th) Day of the Month immediately following the Month to which the information applies.</w:t>
      </w:r>
    </w:p>
    <w:p>
      <w:pPr>
        <w:pStyle w:val="Normal"/>
        <w:numPr>
          <w:ilvl w:val="0"/>
          <w:numId w:val="0"/>
        </w:numPr>
        <w:ind w:hanging="576" w:start="576" w:end="0"/>
        <w:jc w:val="both"/>
        <w:rPr>
          <w:sz w:val="24"/>
        </w:rPr>
      </w:pPr>
      <w:r>
        <w:rPr>
          <w:sz w:val="24"/>
        </w:rPr>
      </w:r>
    </w:p>
    <w:p>
      <w:pPr>
        <w:pStyle w:val="Normal"/>
        <w:numPr>
          <w:ilvl w:val="0"/>
          <w:numId w:val="10"/>
        </w:numPr>
        <w:jc w:val="both"/>
        <w:rPr>
          <w:sz w:val="24"/>
        </w:rPr>
      </w:pPr>
      <w:r>
        <w:rPr>
          <w:b/>
          <w:sz w:val="24"/>
          <w:u w:val="single"/>
        </w:rPr>
        <w:t>Payment.</w:t>
      </w:r>
      <w:r>
        <w:rPr>
          <w:b/>
          <w:sz w:val="24"/>
        </w:rPr>
        <w:t xml:space="preserve">  </w:t>
      </w:r>
      <w:r>
        <w:rPr>
          <w:sz w:val="24"/>
        </w:rPr>
        <w:t>Payment to Lost Creek for Variable Gathering and other Gathering Services rendered during the preceding Month shall be due on the twenty-fifth (25th) Day of the calendar Month next succeeding that Month for which Gathering Services were rendered and shall be paid by Shipper on or before such due date.</w:t>
      </w:r>
    </w:p>
    <w:p>
      <w:pPr>
        <w:pStyle w:val="Normal"/>
        <w:numPr>
          <w:ilvl w:val="0"/>
          <w:numId w:val="0"/>
        </w:numPr>
        <w:ind w:hanging="576" w:start="576" w:end="0"/>
        <w:jc w:val="both"/>
        <w:rPr>
          <w:sz w:val="24"/>
        </w:rPr>
      </w:pPr>
      <w:r>
        <w:rPr>
          <w:sz w:val="24"/>
        </w:rPr>
      </w:r>
    </w:p>
    <w:p>
      <w:pPr>
        <w:pStyle w:val="Normal"/>
        <w:numPr>
          <w:ilvl w:val="0"/>
          <w:numId w:val="10"/>
        </w:numPr>
        <w:jc w:val="both"/>
        <w:rPr>
          <w:sz w:val="24"/>
        </w:rPr>
      </w:pPr>
      <w:r>
        <w:rPr>
          <w:b/>
          <w:sz w:val="24"/>
          <w:u w:val="single"/>
        </w:rPr>
        <w:t>Disputed Payments.</w:t>
      </w:r>
      <w:r>
        <w:rPr>
          <w:sz w:val="24"/>
        </w:rPr>
        <w:t xml:space="preserve">  In the event a dispute arises as to the amount payable in any invoice or statement rendered hereunder, the party paying such invoice or statement will nevertheless pay the total amount shown due, provided such payment shall not be deemed a waiver of the rights of Shipper or Lost Creek to recoup or be entitled to sums due for incorrect payment.</w:t>
      </w:r>
    </w:p>
    <w:p>
      <w:pPr>
        <w:pStyle w:val="Normal"/>
        <w:numPr>
          <w:ilvl w:val="0"/>
          <w:numId w:val="0"/>
        </w:numPr>
        <w:ind w:hanging="576" w:start="576" w:end="0"/>
        <w:jc w:val="both"/>
        <w:rPr>
          <w:sz w:val="24"/>
        </w:rPr>
      </w:pPr>
      <w:r>
        <w:rPr>
          <w:sz w:val="24"/>
        </w:rPr>
      </w:r>
    </w:p>
    <w:p>
      <w:pPr>
        <w:pStyle w:val="Normal"/>
        <w:numPr>
          <w:ilvl w:val="0"/>
          <w:numId w:val="10"/>
        </w:numPr>
        <w:jc w:val="both"/>
        <w:rPr>
          <w:sz w:val="24"/>
        </w:rPr>
      </w:pPr>
      <w:r>
        <w:rPr>
          <w:b/>
          <w:sz w:val="24"/>
          <w:u w:val="single"/>
        </w:rPr>
        <w:t>Failure to Pay.</w:t>
      </w:r>
      <w:r>
        <w:rPr>
          <w:b/>
          <w:sz w:val="24"/>
        </w:rPr>
        <w:t xml:space="preserve">  </w:t>
      </w:r>
      <w:r>
        <w:rPr>
          <w:sz w:val="24"/>
        </w:rPr>
        <w:t xml:space="preserve">Should Shipper fail to pay the full amount of the Fees on any invoice when the same becomes due, Shipper shall pay Lost Creek interest on the unpaid balance accruing at a rate equal to the then effective Prime Rate per annum published under "Money Rates" by the </w:t>
      </w:r>
      <w:r>
        <w:rPr>
          <w:i/>
          <w:sz w:val="24"/>
        </w:rPr>
        <w:t>Wall Street Journal,</w:t>
      </w:r>
      <w:r>
        <w:rPr>
          <w:sz w:val="24"/>
        </w:rPr>
        <w:t xml:space="preserve"> plus two percent (2%) per annum from the date the payment was due until the date of payment; provided, however, if for any period the interest charge exceeds any applicable maximum rate permitted by law, the interest charge shall be reduced to equal the applicable maximum rate.  In the event the </w:t>
      </w:r>
      <w:r>
        <w:rPr>
          <w:i/>
          <w:sz w:val="24"/>
        </w:rPr>
        <w:t xml:space="preserve">Wall Street Journal </w:t>
      </w:r>
      <w:r>
        <w:rPr>
          <w:sz w:val="24"/>
        </w:rPr>
        <w:t>ceases to be published or ceases to report the Prime Rate as specified herein, Lost Creek reserves the right to substitute a similar independent publication or to substitute a similar index from the same publication as may be required.  The interest provided for by this Paragraph shall be compounded monthly.  In the event Shipper fails to promptly provide payment securities acceptable to Lost Creek when requested by Lost Creek, Lost Creek and Shipper agree that Lost Creek may suspend its performance hereunder until such time as Shipper furnishes acceptable payment securities to Lost Creek.  If either principal or interest is due, any payments thereafter received shall first be applied to the interest due, then to the previously outstanding principal due and, lastly, to the most current principal due.  Subject to requirements of regulatory bodies having jurisdiction, and without prejudice to any other rights and remedies available to Lost Creek under the law and this Agreement, Lost Creek shall have the right to discontinue Gathering Services hereunder if any invoice remains unpaid in full for thirty (30) Days after the due date thereof.</w:t>
      </w:r>
    </w:p>
    <w:p>
      <w:pPr>
        <w:pStyle w:val="Normal"/>
        <w:numPr>
          <w:ilvl w:val="0"/>
          <w:numId w:val="0"/>
        </w:numPr>
        <w:ind w:hanging="576" w:start="576" w:end="0"/>
        <w:jc w:val="both"/>
        <w:rPr>
          <w:sz w:val="24"/>
        </w:rPr>
      </w:pPr>
      <w:r>
        <w:rPr>
          <w:sz w:val="24"/>
        </w:rPr>
      </w:r>
    </w:p>
    <w:p>
      <w:pPr>
        <w:pStyle w:val="Normal"/>
        <w:numPr>
          <w:ilvl w:val="0"/>
          <w:numId w:val="10"/>
        </w:numPr>
        <w:jc w:val="both"/>
        <w:rPr>
          <w:sz w:val="24"/>
        </w:rPr>
      </w:pPr>
      <w:r>
        <w:rPr>
          <w:b/>
          <w:sz w:val="24"/>
          <w:u w:val="single"/>
        </w:rPr>
        <w:t>Delayed Billing.</w:t>
      </w:r>
      <w:r>
        <w:rPr>
          <w:b/>
          <w:sz w:val="24"/>
        </w:rPr>
        <w:t xml:space="preserve">  </w:t>
      </w:r>
      <w:r>
        <w:rPr>
          <w:sz w:val="24"/>
        </w:rPr>
        <w:t>If Lost Creek fails to mail any invoice by the fifteenth (15th) Day of the Month, then the time of payment shall be extended by one (1) Day for each Day that the mailing of the invoice is delayed.  This provision shall not apply in the event the Shipper is responsible for delayed billing.</w:t>
      </w:r>
    </w:p>
    <w:p>
      <w:pPr>
        <w:pStyle w:val="Normal"/>
        <w:numPr>
          <w:ilvl w:val="0"/>
          <w:numId w:val="0"/>
        </w:numPr>
        <w:ind w:hanging="576" w:start="576" w:end="0"/>
        <w:jc w:val="both"/>
        <w:rPr>
          <w:sz w:val="24"/>
        </w:rPr>
      </w:pPr>
      <w:r>
        <w:rPr>
          <w:sz w:val="24"/>
        </w:rPr>
      </w:r>
    </w:p>
    <w:p>
      <w:pPr>
        <w:pStyle w:val="Normal"/>
        <w:numPr>
          <w:ilvl w:val="0"/>
          <w:numId w:val="10"/>
        </w:numPr>
        <w:jc w:val="both"/>
        <w:rPr>
          <w:sz w:val="24"/>
        </w:rPr>
      </w:pPr>
      <w:r>
        <w:rPr>
          <w:b/>
          <w:sz w:val="24"/>
          <w:u w:val="single"/>
        </w:rPr>
        <w:t>Adjustment of Errors.</w:t>
      </w:r>
      <w:r>
        <w:rPr>
          <w:sz w:val="24"/>
        </w:rPr>
        <w:t xml:space="preserve">  In the event an error is discovered in any invoice, such error shall be adjusted within thirty (30) Days of the determination thereof; provided, however, that any claim for adjustment must be made in writing within twenty-four (24) Months from the date of such invoice.</w:t>
      </w:r>
    </w:p>
    <w:p>
      <w:pPr>
        <w:pStyle w:val="Normal"/>
        <w:numPr>
          <w:ilvl w:val="0"/>
          <w:numId w:val="0"/>
        </w:numPr>
        <w:ind w:hanging="576" w:start="576" w:end="0"/>
        <w:jc w:val="both"/>
        <w:rPr>
          <w:sz w:val="24"/>
        </w:rPr>
      </w:pPr>
      <w:r>
        <w:rPr>
          <w:sz w:val="24"/>
        </w:rPr>
      </w:r>
    </w:p>
    <w:p>
      <w:pPr>
        <w:pStyle w:val="Normal"/>
        <w:jc w:val="both"/>
        <w:rPr>
          <w:b/>
          <w:sz w:val="24"/>
        </w:rPr>
      </w:pPr>
      <w:r>
        <w:rPr>
          <w:b/>
          <w:sz w:val="24"/>
        </w:rPr>
      </w:r>
    </w:p>
    <w:p>
      <w:pPr>
        <w:pStyle w:val="Normal"/>
        <w:jc w:val="both"/>
        <w:rPr>
          <w:b/>
          <w:sz w:val="24"/>
        </w:rPr>
      </w:pPr>
      <w:r>
        <w:rPr>
          <w:b/>
          <w:sz w:val="24"/>
        </w:rPr>
      </w:r>
    </w:p>
    <w:sectPr>
      <w:footerReference w:type="default" r:id="rId5"/>
      <w:footerReference w:type="first" r:id="rId6"/>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altName w:val="Times New Roman"/>
    <w:charset w:val="00" w:characterSet="windows-1252"/>
    <w:family w:val="roman"/>
    <w:pitch w:val="default"/>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Sdaniel\Denver\North Central\</w:t>
    </w:r>
    <w:r>
      <w:rPr>
        <w:sz w:val="16"/>
        <w:lang w:eastAsia="en-US"/>
      </w:rPr>
      <w:fldChar w:fldCharType="begin"/>
    </w:r>
    <w:r>
      <w:rPr>
        <w:sz w:val="16"/>
        <w:lang w:eastAsia="en-US"/>
      </w:rPr>
      <w:instrText xml:space="preserve"> FILENAME </w:instrText>
    </w:r>
    <w:r>
      <w:rPr>
        <w:sz w:val="16"/>
        <w:lang w:eastAsia="en-US"/>
      </w:rPr>
      <w:fldChar w:fldCharType="separate"/>
    </w:r>
    <w:r>
      <w:rPr>
        <w:sz w:val="16"/>
        <w:lang w:eastAsia="en-US"/>
      </w:rPr>
      <w:t>Gathering_Agreement__5_1_.doc</w:t>
    </w:r>
    <w:r>
      <w:rPr>
        <w:sz w:val="16"/>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590" w:leader="none"/>
        <w:tab w:val="right" w:pos="8640" w:leader="none"/>
      </w:tabs>
      <w:rPr/>
    </w:pPr>
    <w:r>
      <w:rPr>
        <w:sz w:val="20"/>
      </w:rPr>
      <w:tab/>
    </w:r>
    <w:r>
      <w:rPr/>
      <w:t xml:space="preserve">Page </w:t>
    </w:r>
    <w:r>
      <mc:AlternateContent>
        <mc:Choice Requires="wps">
          <w:drawing>
            <wp:anchor behindDoc="0" distT="0" distB="0" distL="0" distR="0" simplePos="0" locked="0" layoutInCell="0" allowOverlap="1" relativeHeight="20">
              <wp:simplePos x="0" y="0"/>
              <wp:positionH relativeFrom="page">
                <wp:posOffset>4023995</wp:posOffset>
              </wp:positionH>
              <wp:positionV relativeFrom="paragraph">
                <wp:posOffset>-635</wp:posOffset>
              </wp:positionV>
              <wp:extent cx="1530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95pt;mso-wrap-distance-left:0pt;mso-wrap-distance-right:0pt;mso-wrap-distance-top:0pt;mso-wrap-distance-bottom:0pt;margin-top:-0.05pt;mso-position-vertical-relative:text;margin-left:316.85pt;mso-position-horizontal-relative:page">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txbxContent>
              </v:textbox>
              <w10:wrap type="square"/>
            </v:rect>
          </w:pict>
        </mc:Fallback>
      </mc:AlternateContent>
    </w:r>
  </w:p>
  <w:p>
    <w:pPr>
      <w:pStyle w:val="Footer"/>
      <w:tabs>
        <w:tab w:val="clear" w:pos="4320"/>
        <w:tab w:val="center" w:pos="4590" w:leader="none"/>
        <w:tab w:val="right" w:pos="8640" w:leader="none"/>
      </w:tabs>
      <w:rPr/>
    </w:pPr>
    <w:r>
      <w:rPr>
        <w:sz w:val="16"/>
      </w:rPr>
      <w:t>Sdaniel\Denverl\North Central\</w:t>
    </w:r>
    <w:r>
      <w:rPr>
        <w:sz w:val="16"/>
        <w:lang w:eastAsia="en-US"/>
      </w:rPr>
      <w:fldChar w:fldCharType="begin"/>
    </w:r>
    <w:r>
      <w:rPr>
        <w:sz w:val="16"/>
        <w:lang w:eastAsia="en-US"/>
      </w:rPr>
      <w:instrText xml:space="preserve"> FILENAME </w:instrText>
    </w:r>
    <w:r>
      <w:rPr>
        <w:sz w:val="16"/>
        <w:lang w:eastAsia="en-US"/>
      </w:rPr>
      <w:fldChar w:fldCharType="separate"/>
    </w:r>
    <w:r>
      <w:rPr>
        <w:sz w:val="16"/>
        <w:lang w:eastAsia="en-US"/>
      </w:rPr>
      <w:t>Gathering_Agreement__5_1_.doc</w:t>
    </w:r>
    <w:r>
      <w:rPr>
        <w:sz w:val="16"/>
        <w:lang w:eastAsia="en-U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590" w:leader="none"/>
        <w:tab w:val="right" w:pos="8640" w:leader="none"/>
      </w:tabs>
      <w:rPr/>
    </w:pPr>
    <w:r>
      <w:rPr>
        <w:sz w:val="20"/>
      </w:rPr>
      <w:tab/>
    </w:r>
    <w:r>
      <w:rPr/>
      <w:t>Page</w:t>
    </w:r>
    <w:r>
      <mc:AlternateContent>
        <mc:Choice Requires="wps">
          <w:drawing>
            <wp:anchor behindDoc="0" distT="0" distB="0" distL="0" distR="0" simplePos="0" locked="0" layoutInCell="0" allowOverlap="1" relativeHeight="31">
              <wp:simplePos x="0" y="0"/>
              <wp:positionH relativeFrom="page">
                <wp:posOffset>4023995</wp:posOffset>
              </wp:positionH>
              <wp:positionV relativeFrom="paragraph">
                <wp:posOffset>-1905</wp:posOffset>
              </wp:positionV>
              <wp:extent cx="15303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15pt;mso-position-vertical-relative:text;margin-left:316.85pt;mso-position-horizontal-relative:page">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v:textbox>
              <w10:wrap type="square"/>
            </v:rect>
          </w:pict>
        </mc:Fallback>
      </mc:AlternateContent>
    </w:r>
  </w:p>
  <w:p>
    <w:pPr>
      <w:pStyle w:val="Footer"/>
      <w:tabs>
        <w:tab w:val="clear" w:pos="4320"/>
        <w:tab w:val="center" w:pos="4590" w:leader="none"/>
        <w:tab w:val="right" w:pos="8640" w:leader="none"/>
      </w:tabs>
      <w:rPr/>
    </w:pPr>
    <w:r>
      <w:rPr>
        <w:sz w:val="16"/>
      </w:rPr>
      <w:t>Sdaniel\Denver\North Central\</w:t>
    </w:r>
    <w:r>
      <w:rPr>
        <w:sz w:val="16"/>
        <w:lang w:eastAsia="en-US"/>
      </w:rPr>
      <w:fldChar w:fldCharType="begin"/>
    </w:r>
    <w:r>
      <w:rPr>
        <w:sz w:val="16"/>
        <w:lang w:eastAsia="en-US"/>
      </w:rPr>
      <w:instrText xml:space="preserve"> FILENAME </w:instrText>
    </w:r>
    <w:r>
      <w:rPr>
        <w:sz w:val="16"/>
        <w:lang w:eastAsia="en-US"/>
      </w:rPr>
      <w:fldChar w:fldCharType="separate"/>
    </w:r>
    <w:r>
      <w:rPr>
        <w:sz w:val="16"/>
        <w:lang w:eastAsia="en-US"/>
      </w:rPr>
      <w:t>Gathering_Agreement__5_1_.doc</w:t>
    </w:r>
    <w:r>
      <w:rPr>
        <w:sz w:val="16"/>
        <w:lang w:eastAsia="en-US"/>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Section %1."/>
      <w:lvlJc w:val="start"/>
      <w:pPr>
        <w:tabs>
          <w:tab w:val="num" w:pos="0"/>
        </w:tabs>
        <w:ind w:start="0" w:hanging="0"/>
      </w:pPr>
    </w:lvl>
    <w:lvl w:ilvl="1">
      <w:start w:val="1"/>
      <w:pStyle w:val="Heading2"/>
      <w:numFmt w:val="decimal"/>
      <w:lvlText w:val="Section %1.%2"/>
      <w:lvlJc w:val="start"/>
      <w:pPr>
        <w:tabs>
          <w:tab w:val="num" w:pos="1584"/>
        </w:tabs>
        <w:ind w:start="0" w:hanging="0"/>
      </w:pPr>
    </w:lvl>
    <w:lvl w:ilvl="2">
      <w:start w:val="1"/>
      <w:pStyle w:val="Heading3"/>
      <w:numFmt w:val="lowerLetter"/>
      <w:lvlText w:val="%3."/>
      <w:lvlJc w:val="start"/>
      <w:pPr>
        <w:tabs>
          <w:tab w:val="num" w:pos="720"/>
        </w:tabs>
        <w:ind w:start="0" w:hanging="0"/>
      </w:pPr>
    </w:lvl>
    <w:lvl w:ilvl="3">
      <w:start w:val="1"/>
      <w:pStyle w:val="Heading4"/>
      <w:numFmt w:val="lowerRoman"/>
      <w:lvlText w:val="%4."/>
      <w:lvlJc w:val="start"/>
      <w:pPr>
        <w:tabs>
          <w:tab w:val="num" w:pos="720"/>
        </w:tabs>
        <w:ind w:start="0" w:hanging="0"/>
      </w:pPr>
    </w:lvl>
    <w:lvl w:ilvl="4">
      <w:start w:val="1"/>
      <w:pStyle w:val="Heading5"/>
      <w:numFmt w:val="decimal"/>
      <w:lvlText w:val="(%5)"/>
      <w:lvlJc w:val="start"/>
      <w:pPr>
        <w:tabs>
          <w:tab w:val="num" w:pos="720"/>
        </w:tabs>
        <w:ind w:start="0" w:hanging="0"/>
      </w:pPr>
    </w:lvl>
    <w:lvl w:ilvl="5">
      <w:start w:val="1"/>
      <w:pStyle w:val="Heading6"/>
      <w:numFmt w:val="lowerLetter"/>
      <w:lvlText w:val="(%6)"/>
      <w:lvlJc w:val="start"/>
      <w:pPr>
        <w:tabs>
          <w:tab w:val="num" w:pos="720"/>
        </w:tabs>
        <w:ind w:start="0" w:hanging="0"/>
      </w:pPr>
      <w:rPr>
        <w:dstrike w:val="false"/>
        <w:strike w:val="false"/>
      </w:r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1"/>
      <w:lvlJc w:val="start"/>
      <w:pPr>
        <w:tabs>
          <w:tab w:val="num" w:pos="576"/>
        </w:tabs>
        <w:ind w:start="576" w:hanging="576"/>
      </w:pPr>
      <w:rPr>
        <w:sz w:val="24"/>
        <w:i w:val="false"/>
        <w:b/>
        <w:rFonts w:ascii="Times New Roman" w:hAnsi="Times New Roman" w:cs="Times New Roman"/>
      </w:rPr>
    </w:lvl>
  </w:abstractNum>
  <w:abstractNum w:abstractNumId="3">
    <w:lvl w:ilvl="0">
      <w:start w:val="1"/>
      <w:numFmt w:val="decimal"/>
      <w:lvlText w:val="2.%1"/>
      <w:lvlJc w:val="start"/>
      <w:pPr>
        <w:tabs>
          <w:tab w:val="num" w:pos="576"/>
        </w:tabs>
        <w:ind w:start="576" w:hanging="576"/>
      </w:pPr>
      <w:rPr>
        <w:sz w:val="24"/>
        <w:i w:val="false"/>
        <w:b/>
        <w:rFonts w:ascii="Times New Roman" w:hAnsi="Times New Roman" w:cs="Times New Roman"/>
      </w:rPr>
    </w:lvl>
  </w:abstractNum>
  <w:abstractNum w:abstractNumId="4">
    <w:lvl w:ilvl="0">
      <w:start w:val="1"/>
      <w:numFmt w:val="decimal"/>
      <w:lvlText w:val="3.%1"/>
      <w:lvlJc w:val="start"/>
      <w:pPr>
        <w:tabs>
          <w:tab w:val="num" w:pos="576"/>
        </w:tabs>
        <w:ind w:start="576" w:hanging="576"/>
      </w:pPr>
      <w:rPr>
        <w:sz w:val="24"/>
        <w:i w:val="false"/>
        <w:b/>
        <w:rFonts w:ascii="Times New Roman" w:hAnsi="Times New Roman" w:cs="Times New Roman"/>
      </w:rPr>
    </w:lvl>
  </w:abstractNum>
  <w:abstractNum w:abstractNumId="5">
    <w:lvl w:ilvl="0">
      <w:start w:val="1"/>
      <w:numFmt w:val="decimal"/>
      <w:lvlText w:val="%1."/>
      <w:lvlJc w:val="start"/>
      <w:pPr>
        <w:tabs>
          <w:tab w:val="num" w:pos="1440"/>
        </w:tabs>
        <w:ind w:start="1440" w:hanging="360"/>
      </w:pPr>
      <w:rPr/>
    </w:lvl>
  </w:abstractNum>
  <w:abstractNum w:abstractNumId="6">
    <w:lvl w:ilvl="0">
      <w:start w:val="1"/>
      <w:numFmt w:val="decimal"/>
      <w:lvlText w:val="4.%1"/>
      <w:lvlJc w:val="start"/>
      <w:pPr>
        <w:tabs>
          <w:tab w:val="num" w:pos="576"/>
        </w:tabs>
        <w:ind w:start="576" w:hanging="576"/>
      </w:pPr>
      <w:rPr>
        <w:sz w:val="24"/>
        <w:i w:val="false"/>
        <w:b/>
        <w:rFonts w:ascii="Times New Roman" w:hAnsi="Times New Roman" w:cs="Times New Roman"/>
      </w:rPr>
    </w:lvl>
  </w:abstractNum>
  <w:abstractNum w:abstractNumId="7">
    <w:lvl w:ilvl="0">
      <w:start w:val="1"/>
      <w:numFmt w:val="decimal"/>
      <w:lvlText w:val="1.%1"/>
      <w:lvlJc w:val="start"/>
      <w:pPr>
        <w:tabs>
          <w:tab w:val="num" w:pos="576"/>
        </w:tabs>
        <w:ind w:start="576" w:hanging="576"/>
      </w:pPr>
      <w:rPr>
        <w:sz w:val="24"/>
        <w:i w:val="false"/>
        <w:b/>
        <w:rFonts w:ascii="Times New Roman" w:hAnsi="Times New Roman" w:cs="Times New Roman"/>
      </w:rPr>
    </w:lvl>
  </w:abstractNum>
  <w:abstractNum w:abstractNumId="8">
    <w:lvl w:ilvl="0">
      <w:start w:val="1"/>
      <w:numFmt w:val="lowerLetter"/>
      <w:lvlText w:val="(%1)"/>
      <w:lvlJc w:val="start"/>
      <w:pPr>
        <w:tabs>
          <w:tab w:val="num" w:pos="1800"/>
        </w:tabs>
        <w:ind w:start="1800" w:hanging="360"/>
      </w:pPr>
      <w:rPr/>
    </w:lvl>
  </w:abstractNum>
  <w:abstractNum w:abstractNumId="9">
    <w:lvl w:ilvl="0">
      <w:start w:val="1"/>
      <w:numFmt w:val="decimal"/>
      <w:lvlText w:val="5.%1"/>
      <w:lvlJc w:val="start"/>
      <w:pPr>
        <w:tabs>
          <w:tab w:val="num" w:pos="576"/>
        </w:tabs>
        <w:ind w:start="576" w:hanging="576"/>
      </w:pPr>
      <w:rPr>
        <w:sz w:val="24"/>
        <w:i w:val="false"/>
        <w:b/>
        <w:rFonts w:ascii="Times New Roman" w:hAnsi="Times New Roman" w:cs="Times New Roman"/>
      </w:rPr>
    </w:lvl>
  </w:abstractNum>
  <w:abstractNum w:abstractNumId="10">
    <w:lvl w:ilvl="0">
      <w:start w:val="1"/>
      <w:numFmt w:val="decimal"/>
      <w:lvlText w:val="4.%1"/>
      <w:lvlJc w:val="start"/>
      <w:pPr>
        <w:tabs>
          <w:tab w:val="num" w:pos="576"/>
        </w:tabs>
        <w:ind w:start="576" w:hanging="576"/>
      </w:pPr>
      <w:rPr>
        <w:sz w:val="24"/>
        <w:i w:val="false"/>
        <w:b/>
        <w:rFonts w:ascii="Times New Roman" w:hAnsi="Times New Roman" w:cs="Times New Roman"/>
      </w:rPr>
    </w:lvl>
  </w:abstractNum>
  <w:abstractNum w:abstractNumId="11">
    <w:lvl w:ilvl="0">
      <w:start w:val="7"/>
      <w:numFmt w:val="decimal"/>
      <w:lvlText w:val="%1"/>
      <w:lvlJc w:val="start"/>
      <w:pPr>
        <w:tabs>
          <w:tab w:val="num" w:pos="720"/>
        </w:tabs>
        <w:ind w:start="720" w:hanging="720"/>
      </w:pPr>
      <w:rPr>
        <w:b/>
      </w:rPr>
    </w:lvl>
    <w:lvl w:ilvl="1">
      <w:start w:val="4"/>
      <w:numFmt w:val="decimal"/>
      <w:lvlText w:val="%1.%2"/>
      <w:lvlJc w:val="start"/>
      <w:pPr>
        <w:tabs>
          <w:tab w:val="num" w:pos="720"/>
        </w:tabs>
        <w:ind w:start="720" w:hanging="72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800"/>
        </w:tabs>
        <w:ind w:start="1800" w:hanging="1800"/>
      </w:pPr>
      <w:rPr>
        <w:b/>
      </w:rPr>
    </w:lvl>
  </w:abstractNum>
  <w:abstractNum w:abstractNumId="12">
    <w:lvl w:ilvl="0">
      <w:start w:val="1"/>
      <w:numFmt w:val="decimal"/>
      <w:lvlText w:val="7.%1"/>
      <w:lvlJc w:val="start"/>
      <w:pPr>
        <w:tabs>
          <w:tab w:val="num" w:pos="576"/>
        </w:tabs>
        <w:ind w:start="576" w:hanging="576"/>
      </w:pPr>
      <w:rPr>
        <w:sz w:val="24"/>
        <w:i w:val="false"/>
        <w:b/>
        <w:rFonts w:ascii="Times New Roman" w:hAnsi="Times New Roman" w:cs="Times New Roman"/>
      </w:rPr>
    </w:lvl>
  </w:abstractNum>
  <w:abstractNum w:abstractNumId="13">
    <w:lvl w:ilvl="0">
      <w:start w:val="1"/>
      <w:numFmt w:val="lowerLetter"/>
      <w:lvlText w:val="(%1)"/>
      <w:lvlJc w:val="start"/>
      <w:pPr>
        <w:tabs>
          <w:tab w:val="num" w:pos="360"/>
        </w:tabs>
        <w:ind w:start="900" w:hanging="360"/>
      </w:pPr>
    </w:lvl>
  </w:abstractNum>
  <w:abstractNum w:abstractNumId="14">
    <w:lvl w:ilvl="0">
      <w:start w:val="11"/>
      <w:numFmt w:val="decimal"/>
      <w:lvlText w:val="%1"/>
      <w:lvlJc w:val="start"/>
      <w:pPr>
        <w:tabs>
          <w:tab w:val="num" w:pos="720"/>
        </w:tabs>
        <w:ind w:start="720" w:hanging="720"/>
      </w:pPr>
      <w:rPr/>
    </w:lvl>
    <w:lvl w:ilvl="1">
      <w:start w:val="4"/>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15">
    <w:lvl w:ilvl="0">
      <w:start w:val="1"/>
      <w:numFmt w:val="lowerLetter"/>
      <w:lvlText w:val="(%1)"/>
      <w:lvlJc w:val="start"/>
      <w:pPr>
        <w:tabs>
          <w:tab w:val="num" w:pos="360"/>
        </w:tabs>
        <w:ind w:start="360" w:hanging="360"/>
      </w:pPr>
      <w:rPr>
        <w:i/>
      </w:rPr>
    </w:lvl>
  </w:abstractNum>
  <w:abstractNum w:abstractNumId="16">
    <w:lvl w:ilvl="0">
      <w:start w:val="2"/>
      <w:numFmt w:val="decimal"/>
      <w:lvlText w:val="%1"/>
      <w:lvlJc w:val="start"/>
      <w:pPr>
        <w:tabs>
          <w:tab w:val="num" w:pos="720"/>
        </w:tabs>
        <w:ind w:start="720" w:hanging="720"/>
      </w:pPr>
      <w:rPr>
        <w:b/>
      </w:rPr>
    </w:lvl>
    <w:lvl w:ilvl="1">
      <w:start w:val="1"/>
      <w:numFmt w:val="decimal"/>
      <w:lvlText w:val="%1.%2"/>
      <w:lvlJc w:val="start"/>
      <w:pPr>
        <w:tabs>
          <w:tab w:val="num" w:pos="720"/>
        </w:tabs>
        <w:ind w:start="720" w:hanging="72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800"/>
        </w:tabs>
        <w:ind w:start="1800" w:hanging="1800"/>
      </w:pPr>
      <w:rPr>
        <w:b/>
      </w:rPr>
    </w:lvl>
  </w:abstractNum>
  <w:abstractNum w:abstractNumId="17">
    <w:lvl w:ilvl="0">
      <w:start w:val="1"/>
      <w:numFmt w:val="decimal"/>
      <w:lvlText w:val="6.%1"/>
      <w:lvlJc w:val="start"/>
      <w:pPr>
        <w:tabs>
          <w:tab w:val="num" w:pos="576"/>
        </w:tabs>
        <w:ind w:start="576" w:hanging="576"/>
      </w:pPr>
      <w:rPr>
        <w:sz w:val="24"/>
        <w:i w:val="false"/>
        <w:b/>
        <w:rFonts w:ascii="Times New Roman" w:hAnsi="Times New Roman" w:cs="Times New Roman"/>
      </w:rPr>
    </w:lvl>
  </w:abstractNum>
  <w:abstractNum w:abstractNumId="18">
    <w:lvl w:ilvl="0">
      <w:start w:val="1"/>
      <w:numFmt w:val="decimal"/>
      <w:lvlText w:val="3.%1"/>
      <w:lvlJc w:val="start"/>
      <w:pPr>
        <w:tabs>
          <w:tab w:val="num" w:pos="576"/>
        </w:tabs>
        <w:ind w:start="576" w:hanging="576"/>
      </w:pPr>
      <w:rPr>
        <w:sz w:val="24"/>
        <w:i w:val="false"/>
        <w:b/>
        <w:rFonts w:ascii="Times New Roman" w:hAnsi="Times New Roman" w:cs="Times New Roman"/>
      </w:rPr>
    </w:lvl>
  </w:abstractNum>
  <w:abstractNum w:abstractNumId="19">
    <w:lvl w:ilvl="0">
      <w:start w:val="1"/>
      <w:numFmt w:val="lowerLetter"/>
      <w:lvlText w:val="(%1)"/>
      <w:lvlJc w:val="start"/>
      <w:pPr>
        <w:tabs>
          <w:tab w:val="num" w:pos="1080"/>
        </w:tabs>
        <w:ind w:start="1080" w:hanging="360"/>
      </w:pPr>
      <w:rPr>
        <w:b/>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0" w:after="60"/>
      <w:outlineLvl w:val="0"/>
    </w:pPr>
    <w:rPr>
      <w:rFonts w:ascii="Arial" w:hAnsi="Arial" w:cs="Arial"/>
      <w:i/>
      <w:vanish/>
      <w:color w:val="0000FF"/>
      <w:spacing w:val="10"/>
      <w:sz w:val="24"/>
    </w:rPr>
  </w:style>
  <w:style w:type="paragraph" w:styleId="Heading2">
    <w:name w:val="heading 2"/>
    <w:basedOn w:val="Normal"/>
    <w:next w:val="BodyText"/>
    <w:qFormat/>
    <w:pPr>
      <w:numPr>
        <w:ilvl w:val="1"/>
        <w:numId w:val="1"/>
      </w:numPr>
      <w:spacing w:before="0" w:after="240"/>
      <w:ind w:firstLine="720" w:start="0" w:end="0"/>
      <w:jc w:val="both"/>
      <w:outlineLvl w:val="1"/>
    </w:pPr>
    <w:rPr>
      <w:spacing w:val="10"/>
      <w:sz w:val="24"/>
    </w:rPr>
  </w:style>
  <w:style w:type="paragraph" w:styleId="Heading3">
    <w:name w:val="heading 3"/>
    <w:basedOn w:val="Normal"/>
    <w:next w:val="BodyText"/>
    <w:qFormat/>
    <w:pPr>
      <w:numPr>
        <w:ilvl w:val="2"/>
        <w:numId w:val="1"/>
      </w:numPr>
      <w:spacing w:before="0" w:after="240"/>
      <w:ind w:firstLine="720" w:start="720" w:end="0"/>
      <w:jc w:val="both"/>
      <w:outlineLvl w:val="2"/>
    </w:pPr>
    <w:rPr>
      <w:spacing w:val="10"/>
      <w:sz w:val="24"/>
    </w:rPr>
  </w:style>
  <w:style w:type="paragraph" w:styleId="Heading4">
    <w:name w:val="heading 4"/>
    <w:basedOn w:val="Normal"/>
    <w:next w:val="BodyText"/>
    <w:qFormat/>
    <w:pPr>
      <w:numPr>
        <w:ilvl w:val="3"/>
        <w:numId w:val="1"/>
      </w:numPr>
      <w:spacing w:before="0" w:after="240"/>
      <w:ind w:firstLine="720" w:start="1440" w:end="0"/>
      <w:jc w:val="both"/>
      <w:outlineLvl w:val="3"/>
    </w:pPr>
    <w:rPr>
      <w:spacing w:val="10"/>
      <w:sz w:val="24"/>
    </w:rPr>
  </w:style>
  <w:style w:type="paragraph" w:styleId="Heading5">
    <w:name w:val="heading 5"/>
    <w:basedOn w:val="Normal"/>
    <w:next w:val="BodyText"/>
    <w:qFormat/>
    <w:pPr>
      <w:numPr>
        <w:ilvl w:val="4"/>
        <w:numId w:val="1"/>
      </w:numPr>
      <w:spacing w:before="0" w:after="240"/>
      <w:ind w:firstLine="3240" w:start="0" w:end="0"/>
      <w:outlineLvl w:val="4"/>
    </w:pPr>
    <w:rPr>
      <w:spacing w:val="10"/>
      <w:sz w:val="24"/>
    </w:rPr>
  </w:style>
  <w:style w:type="paragraph" w:styleId="Heading6">
    <w:name w:val="heading 6"/>
    <w:basedOn w:val="Normal"/>
    <w:next w:val="BodyText"/>
    <w:qFormat/>
    <w:pPr>
      <w:numPr>
        <w:ilvl w:val="5"/>
        <w:numId w:val="1"/>
      </w:numPr>
      <w:spacing w:before="0" w:after="240"/>
      <w:ind w:firstLine="4050" w:start="0" w:end="0"/>
      <w:outlineLvl w:val="5"/>
    </w:pPr>
    <w:rPr>
      <w:spacing w:val="10"/>
      <w:sz w:val="24"/>
    </w:rPr>
  </w:style>
  <w:style w:type="paragraph" w:styleId="Heading7">
    <w:name w:val="heading 7"/>
    <w:basedOn w:val="Normal"/>
    <w:next w:val="BodyText"/>
    <w:qFormat/>
    <w:pPr>
      <w:numPr>
        <w:ilvl w:val="6"/>
        <w:numId w:val="1"/>
      </w:numPr>
      <w:spacing w:before="0" w:after="240"/>
      <w:outlineLvl w:val="6"/>
    </w:pPr>
    <w:rPr>
      <w:spacing w:val="10"/>
      <w:sz w:val="24"/>
    </w:rPr>
  </w:style>
  <w:style w:type="paragraph" w:styleId="Heading8">
    <w:name w:val="heading 8"/>
    <w:basedOn w:val="Normal"/>
    <w:next w:val="BodyText"/>
    <w:qFormat/>
    <w:pPr>
      <w:numPr>
        <w:ilvl w:val="7"/>
        <w:numId w:val="1"/>
      </w:numPr>
      <w:spacing w:before="0" w:after="240"/>
      <w:outlineLvl w:val="7"/>
    </w:pPr>
    <w:rPr>
      <w:spacing w:val="10"/>
      <w:sz w:val="24"/>
    </w:rPr>
  </w:style>
  <w:style w:type="paragraph" w:styleId="Heading9">
    <w:name w:val="heading 9"/>
    <w:basedOn w:val="Normal"/>
    <w:next w:val="BodyText"/>
    <w:qFormat/>
    <w:pPr>
      <w:numPr>
        <w:ilvl w:val="8"/>
        <w:numId w:val="1"/>
      </w:numPr>
      <w:spacing w:before="0" w:after="240"/>
      <w:outlineLvl w:val="8"/>
    </w:pPr>
    <w:rPr>
      <w:spacing w:val="10"/>
      <w:sz w:val="24"/>
    </w:rPr>
  </w:style>
  <w:style w:type="character" w:styleId="WW8Num1z5">
    <w:name w:val="WW8Num1z5"/>
    <w:qFormat/>
    <w:rPr>
      <w:strike w:val="false"/>
      <w:dstrike w:val="false"/>
    </w:rPr>
  </w:style>
  <w:style w:type="character" w:styleId="WW8Num2z0">
    <w:name w:val="WW8Num2z0"/>
    <w:qFormat/>
    <w:rPr>
      <w:rFonts w:ascii="Times New Roman" w:hAnsi="Times New Roman" w:cs="Times New Roman"/>
      <w:b/>
      <w:i w:val="false"/>
      <w:sz w:val="24"/>
    </w:rPr>
  </w:style>
  <w:style w:type="character" w:styleId="WW8Num3z0">
    <w:name w:val="WW8Num3z0"/>
    <w:qFormat/>
    <w:rPr>
      <w:rFonts w:ascii="Times New Roman" w:hAnsi="Times New Roman" w:cs="Times New Roman"/>
      <w:b/>
      <w:i w:val="false"/>
      <w:sz w:val="24"/>
    </w:rPr>
  </w:style>
  <w:style w:type="character" w:styleId="WW8Num4z0">
    <w:name w:val="WW8Num4z0"/>
    <w:qFormat/>
    <w:rPr>
      <w:rFonts w:ascii="Times New Roman" w:hAnsi="Times New Roman" w:cs="Times New Roman"/>
      <w:b/>
      <w:i w:val="false"/>
      <w:sz w:val="24"/>
    </w:rPr>
  </w:style>
  <w:style w:type="character" w:styleId="WW8Num5z0">
    <w:name w:val="WW8Num5z0"/>
    <w:qFormat/>
    <w:rPr>
      <w:rFonts w:ascii="Times New Roman" w:hAnsi="Times New Roman" w:cs="Times New Roman"/>
      <w:b/>
      <w:i w:val="false"/>
      <w:sz w:val="24"/>
    </w:rPr>
  </w:style>
  <w:style w:type="character" w:styleId="WW8Num6z0">
    <w:name w:val="WW8Num6z0"/>
    <w:qFormat/>
    <w:rPr>
      <w:rFonts w:ascii="Times New Roman Bold;Times New Roman" w:hAnsi="Times New Roman Bold;Times New Roman" w:cs="Times New Roman Bold;Times New Roman"/>
      <w:b/>
    </w:rPr>
  </w:style>
  <w:style w:type="character" w:styleId="WW8Num7z0">
    <w:name w:val="WW8Num7z0"/>
    <w:qFormat/>
    <w:rPr/>
  </w:style>
  <w:style w:type="character" w:styleId="WW8Num8z0">
    <w:name w:val="WW8Num8z0"/>
    <w:qFormat/>
    <w:rPr>
      <w:rFonts w:ascii="Times New Roman" w:hAnsi="Times New Roman" w:cs="Times New Roman"/>
      <w:b/>
      <w:i w:val="false"/>
      <w:sz w:val="24"/>
    </w:rPr>
  </w:style>
  <w:style w:type="character" w:styleId="WW8Num9z0">
    <w:name w:val="WW8Num9z0"/>
    <w:qFormat/>
    <w:rPr>
      <w:rFonts w:ascii="Times New Roman" w:hAnsi="Times New Roman" w:cs="Times New Roman"/>
      <w:b/>
      <w:i w:val="false"/>
      <w:sz w:val="24"/>
    </w:rPr>
  </w:style>
  <w:style w:type="character" w:styleId="WW8Num10z0">
    <w:name w:val="WW8Num10z0"/>
    <w:qFormat/>
    <w:rPr/>
  </w:style>
  <w:style w:type="character" w:styleId="WW8Num11z0">
    <w:name w:val="WW8Num11z0"/>
    <w:qFormat/>
    <w:rPr>
      <w:b/>
    </w:rPr>
  </w:style>
  <w:style w:type="character" w:styleId="WW8Num12z0">
    <w:name w:val="WW8Num12z0"/>
    <w:qFormat/>
    <w:rPr>
      <w:rFonts w:ascii="Times New Roman" w:hAnsi="Times New Roman" w:cs="Times New Roman"/>
      <w:b/>
      <w:i w:val="false"/>
      <w:sz w:val="24"/>
    </w:rPr>
  </w:style>
  <w:style w:type="character" w:styleId="WW8Num13z0">
    <w:name w:val="WW8Num13z0"/>
    <w:qFormat/>
    <w:rPr>
      <w:rFonts w:ascii="Times New Roman" w:hAnsi="Times New Roman" w:cs="Times New Roman"/>
      <w:b/>
      <w:i w:val="false"/>
      <w:sz w:val="24"/>
    </w:rPr>
  </w:style>
  <w:style w:type="character" w:styleId="WW8Num14z0">
    <w:name w:val="WW8Num14z0"/>
    <w:qFormat/>
    <w:rPr>
      <w:b/>
    </w:rPr>
  </w:style>
  <w:style w:type="character" w:styleId="WW8Num15z0">
    <w:name w:val="WW8Num15z0"/>
    <w:qFormat/>
    <w:rPr>
      <w:rFonts w:ascii="Times New Roman" w:hAnsi="Times New Roman" w:cs="Times New Roman"/>
      <w:b/>
      <w:i w:val="false"/>
      <w:sz w:val="24"/>
    </w:rPr>
  </w:style>
  <w:style w:type="character" w:styleId="WW8Num17z0">
    <w:name w:val="WW8Num17z0"/>
    <w:qFormat/>
    <w:rPr>
      <w:rFonts w:ascii="Times New Roman" w:hAnsi="Times New Roman" w:cs="Times New Roman"/>
      <w:b/>
      <w:i w:val="false"/>
      <w:sz w:val="24"/>
    </w:rPr>
  </w:style>
  <w:style w:type="character" w:styleId="WW8Num18z0">
    <w:name w:val="WW8Num18z0"/>
    <w:qFormat/>
    <w:rPr/>
  </w:style>
  <w:style w:type="character" w:styleId="WW8Num19z0">
    <w:name w:val="WW8Num19z0"/>
    <w:qFormat/>
    <w:rPr>
      <w:i/>
    </w:rPr>
  </w:style>
  <w:style w:type="character" w:styleId="WW8Num20z0">
    <w:name w:val="WW8Num20z0"/>
    <w:qFormat/>
    <w:rPr>
      <w:rFonts w:ascii="Times New Roman" w:hAnsi="Times New Roman" w:cs="Times New Roman"/>
      <w:b/>
      <w:i w:val="false"/>
      <w:sz w:val="24"/>
    </w:rPr>
  </w:style>
  <w:style w:type="character" w:styleId="WW8Num22z0">
    <w:name w:val="WW8Num22z0"/>
    <w:qFormat/>
    <w:rPr>
      <w:b/>
    </w:rPr>
  </w:style>
  <w:style w:type="character" w:styleId="WW8Num23z0">
    <w:name w:val="WW8Num23z0"/>
    <w:qFormat/>
    <w:rPr>
      <w:rFonts w:ascii="Times New Roman" w:hAnsi="Times New Roman" w:cs="Times New Roman"/>
      <w:b/>
      <w:i w:val="false"/>
      <w:sz w:val="24"/>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rFonts w:ascii="Times New Roman" w:hAnsi="Times New Roman" w:cs="Times New Roman"/>
      <w:b/>
      <w:i w:val="false"/>
      <w:sz w:val="24"/>
    </w:rPr>
  </w:style>
  <w:style w:type="character" w:styleId="WW8Num28z0">
    <w:name w:val="WW8Num28z0"/>
    <w:qFormat/>
    <w:rPr>
      <w:rFonts w:ascii="Times New Roman" w:hAnsi="Times New Roman" w:cs="Times New Roman"/>
      <w:b/>
      <w:i w:val="false"/>
      <w:sz w:val="24"/>
    </w:rPr>
  </w:style>
  <w:style w:type="character" w:styleId="WW8Num29z0">
    <w:name w:val="WW8Num29z0"/>
    <w:qFormat/>
    <w:rPr>
      <w:rFonts w:ascii="Times New Roman Bold;Times New Roman" w:hAnsi="Times New Roman Bold;Times New Roman" w:cs="Times New Roman Bold;Times New Roman"/>
      <w:b/>
    </w:rPr>
  </w:style>
  <w:style w:type="character" w:styleId="WW8Num30z0">
    <w:name w:val="WW8Num30z0"/>
    <w:qFormat/>
    <w:rPr>
      <w:rFonts w:ascii="Times New Roman" w:hAnsi="Times New Roman" w:cs="Times New Roman"/>
      <w:b/>
      <w:i w:val="false"/>
      <w:sz w:val="24"/>
    </w:rPr>
  </w:style>
  <w:style w:type="character" w:styleId="WW8Num31z0">
    <w:name w:val="WW8Num31z0"/>
    <w:qFormat/>
    <w:rPr>
      <w:rFonts w:ascii="Times New Roman" w:hAnsi="Times New Roman" w:cs="Times New Roman"/>
      <w:b/>
      <w:i w:val="false"/>
      <w:sz w:val="24"/>
    </w:rPr>
  </w:style>
  <w:style w:type="character" w:styleId="WW8Num32z0">
    <w:name w:val="WW8Num32z0"/>
    <w:qFormat/>
    <w:rPr>
      <w:rFonts w:ascii="Times New Roman" w:hAnsi="Times New Roman" w:cs="Times New Roman"/>
      <w:b/>
      <w:i w:val="false"/>
      <w:sz w:val="24"/>
    </w:rPr>
  </w:style>
  <w:style w:type="character" w:styleId="WW8Num33z0">
    <w:name w:val="WW8Num33z0"/>
    <w:qFormat/>
    <w:rPr>
      <w:b/>
      <w:u w:val="single"/>
    </w:rPr>
  </w:style>
  <w:style w:type="character" w:styleId="WW8Num34z0">
    <w:name w:val="WW8Num34z0"/>
    <w:qFormat/>
    <w:rPr>
      <w:rFonts w:ascii="Times New Roman" w:hAnsi="Times New Roman" w:cs="Times New Roman"/>
      <w:b/>
      <w:i w:val="false"/>
      <w:sz w:val="24"/>
    </w:rPr>
  </w:style>
  <w:style w:type="character" w:styleId="WW8Num35z0">
    <w:name w:val="WW8Num35z0"/>
    <w:qFormat/>
    <w:rPr>
      <w:rFonts w:ascii="Times New Roman" w:hAnsi="Times New Roman" w:cs="Times New Roman"/>
      <w:b/>
      <w:i w:val="false"/>
      <w:sz w:val="24"/>
    </w:rPr>
  </w:style>
  <w:style w:type="character" w:styleId="WW8Num36z0">
    <w:name w:val="WW8Num36z0"/>
    <w:qFormat/>
    <w:rPr>
      <w:rFonts w:ascii="Times New Roman" w:hAnsi="Times New Roman" w:cs="Times New Roman"/>
      <w:b/>
      <w:i w:val="false"/>
      <w:sz w:val="24"/>
    </w:rPr>
  </w:style>
  <w:style w:type="character" w:styleId="WW8Num37z0">
    <w:name w:val="WW8Num37z0"/>
    <w:qFormat/>
    <w:rPr>
      <w:rFonts w:ascii="Times New Roman" w:hAnsi="Times New Roman" w:cs="Times New Roman"/>
      <w:b/>
      <w:i w:val="false"/>
      <w:sz w:val="24"/>
    </w:rPr>
  </w:style>
  <w:style w:type="character" w:styleId="WW8Num38z0">
    <w:name w:val="WW8Num38z0"/>
    <w:qFormat/>
    <w:rPr>
      <w:rFonts w:ascii="Times New Roman" w:hAnsi="Times New Roman" w:cs="Times New Roman"/>
      <w:b/>
      <w:i w:val="false"/>
      <w:sz w:val="24"/>
    </w:rPr>
  </w:style>
  <w:style w:type="character" w:styleId="WW8Num39z0">
    <w:name w:val="WW8Num39z0"/>
    <w:qFormat/>
    <w:rPr>
      <w:b/>
    </w:rPr>
  </w:style>
  <w:style w:type="character" w:styleId="WW8Num40z0">
    <w:name w:val="WW8Num40z0"/>
    <w:qFormat/>
    <w:rPr>
      <w:rFonts w:ascii="Times New Roman" w:hAnsi="Times New Roman" w:cs="Times New Roman"/>
      <w:b/>
      <w:i w:val="false"/>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jc w:val="both"/>
    </w:pPr>
    <w:rPr>
      <w:spacing w:val="1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2">
    <w:name w:val="Body Text Indent 2"/>
    <w:basedOn w:val="Normal"/>
    <w:qFormat/>
    <w:pPr>
      <w:widowControl w:val="false"/>
      <w:ind w:firstLine="720" w:start="0" w:end="0"/>
      <w:jc w:val="both"/>
    </w:pPr>
    <w:rPr>
      <w:sz w:val="24"/>
    </w:rPr>
  </w:style>
  <w:style w:type="paragraph" w:styleId="Legal3">
    <w:name w:val="Legal 3"/>
    <w:qFormat/>
    <w:pPr>
      <w:keepNext w:val="true"/>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ind w:hanging="0" w:start="2160" w:end="0"/>
    </w:pPr>
    <w:rPr>
      <w:rFonts w:ascii="Times New Roman" w:hAnsi="Times New Roman" w:eastAsia="Times New Roman" w:cs="Times New Roman"/>
      <w:color w:val="auto"/>
      <w:sz w:val="24"/>
      <w:szCs w:val="20"/>
      <w:lang w:val="en-US" w:eastAsia="zh-CN" w:bidi="hi-IN"/>
    </w:rPr>
  </w:style>
  <w:style w:type="paragraph" w:styleId="BodyTextIndent">
    <w:name w:val="Body Text Indent"/>
    <w:basedOn w:val="Normal"/>
    <w:pPr>
      <w:ind w:firstLine="720" w:start="0" w:end="0"/>
      <w:jc w:val="both"/>
    </w:pPr>
    <w:rPr>
      <w:sz w:val="24"/>
    </w:rPr>
  </w:style>
  <w:style w:type="paragraph" w:styleId="Footer">
    <w:name w:val="footer"/>
    <w:basedOn w:val="Normal"/>
    <w:pPr>
      <w:tabs>
        <w:tab w:val="clear" w:pos="720"/>
        <w:tab w:val="center" w:pos="4320" w:leader="none"/>
        <w:tab w:val="right" w:pos="8640" w:leader="none"/>
      </w:tabs>
    </w:pPr>
    <w:rPr>
      <w:sz w:val="24"/>
    </w:rPr>
  </w:style>
  <w:style w:type="paragraph" w:styleId="BodyTextIndent3">
    <w:name w:val="Body Text Indent 3"/>
    <w:basedOn w:val="Normal"/>
    <w:qFormat/>
    <w:pPr>
      <w:tabs>
        <w:tab w:val="clear" w:pos="720"/>
        <w:tab w:val="left" w:pos="-1440" w:leader="none"/>
      </w:tabs>
      <w:ind w:hanging="720" w:start="1440" w:end="0"/>
    </w:pPr>
    <w:rPr>
      <w:sz w:val="24"/>
    </w:rPr>
  </w:style>
  <w:style w:type="paragraph" w:styleId="BodyText2">
    <w:name w:val="Body Text 2"/>
    <w:basedOn w:val="Normal"/>
    <w:qFormat/>
    <w:pPr>
      <w:jc w:val="both"/>
    </w:pPr>
    <w:rPr>
      <w:b/>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2000-05-01T11:43:00Z</dcterms:created>
  <dc:creator>Pat Radford</dc:creator>
  <dc:description/>
  <dc:language>en-CA</dc:language>
  <cp:lastModifiedBy>Pat Radford</cp:lastModifiedBy>
  <cp:lastPrinted>2000-05-01T09:18:00Z</cp:lastPrinted>
  <dcterms:modified xsi:type="dcterms:W3CDTF">2000-05-01T11:48:00Z</dcterms:modified>
  <cp:revision>4</cp:revision>
  <dc:subject/>
  <dc:title>NORTH CENTRAL DRAFT 02/10/00</dc:title>
</cp:coreProperties>
</file>