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aps/>
          <w:sz w:val="17"/>
        </w:rPr>
      </w:pPr>
      <w:r>
        <w:rPr>
          <w:caps/>
          <w:sz w:val="17"/>
        </w:rPr>
        <w:t>Gas Gathering Agreements</w:t>
      </w:r>
    </w:p>
    <w:p>
      <w:pPr>
        <w:pStyle w:val="Normal"/>
        <w:jc w:val="both"/>
        <w:rPr>
          <w:caps/>
          <w:sz w:val="17"/>
        </w:rPr>
      </w:pPr>
      <w:r>
        <w:rPr>
          <w:caps/>
          <w:sz w:val="17"/>
        </w:rPr>
      </w:r>
    </w:p>
    <w:tbl>
      <w:tblPr>
        <w:tblW w:w="18270" w:type="dxa"/>
        <w:jc w:val="start"/>
        <w:tblInd w:w="198" w:type="dxa"/>
        <w:tblLayout w:type="fixed"/>
        <w:tblCellMar>
          <w:top w:w="0" w:type="dxa"/>
          <w:start w:w="108" w:type="dxa"/>
          <w:bottom w:w="0" w:type="dxa"/>
          <w:end w:w="108" w:type="dxa"/>
        </w:tblCellMar>
      </w:tblPr>
      <w:tblGrid>
        <w:gridCol w:w="408"/>
        <w:gridCol w:w="1662"/>
        <w:gridCol w:w="1620"/>
        <w:gridCol w:w="1440"/>
        <w:gridCol w:w="810"/>
        <w:gridCol w:w="2430"/>
        <w:gridCol w:w="2520"/>
        <w:gridCol w:w="1980"/>
        <w:gridCol w:w="2340"/>
        <w:gridCol w:w="3060"/>
      </w:tblGrid>
      <w:tr>
        <w:trPr>
          <w:tblHeader w:val="true"/>
        </w:trPr>
        <w:tc>
          <w:tcPr>
            <w:tcW w:w="408" w:type="dxa"/>
            <w:tcBorders>
              <w:top w:val="single" w:sz="12" w:space="0" w:color="000000"/>
              <w:start w:val="single" w:sz="12" w:space="0" w:color="000000"/>
              <w:end w:val="single" w:sz="6" w:space="0" w:color="000000"/>
            </w:tcBorders>
            <w:shd w:fill="CCCCCC" w:val="clear"/>
          </w:tcPr>
          <w:p>
            <w:pPr>
              <w:pStyle w:val="Normal"/>
              <w:snapToGrid w:val="false"/>
              <w:jc w:val="center"/>
              <w:rPr>
                <w:b/>
                <w:caps/>
                <w:sz w:val="17"/>
              </w:rPr>
            </w:pPr>
            <w:r>
              <w:rPr>
                <w:b/>
                <w:caps/>
                <w:sz w:val="17"/>
              </w:rPr>
            </w:r>
          </w:p>
        </w:tc>
        <w:tc>
          <w:tcPr>
            <w:tcW w:w="1662" w:type="dxa"/>
            <w:tcBorders>
              <w:top w:val="single" w:sz="12" w:space="0" w:color="000000"/>
              <w:start w:val="single" w:sz="6" w:space="0" w:color="000000"/>
              <w:end w:val="single" w:sz="6" w:space="0" w:color="000000"/>
            </w:tcBorders>
            <w:shd w:fill="CCCCCC" w:val="clear"/>
          </w:tcPr>
          <w:p>
            <w:pPr>
              <w:pStyle w:val="Normal"/>
              <w:snapToGrid w:val="false"/>
              <w:jc w:val="center"/>
              <w:rPr>
                <w:b/>
                <w:caps/>
                <w:sz w:val="17"/>
              </w:rPr>
            </w:pPr>
            <w:r>
              <w:rPr>
                <w:b/>
                <w:caps/>
                <w:sz w:val="17"/>
              </w:rPr>
            </w:r>
          </w:p>
          <w:p>
            <w:pPr>
              <w:pStyle w:val="Normal"/>
              <w:jc w:val="center"/>
              <w:rPr>
                <w:b/>
                <w:caps/>
                <w:sz w:val="17"/>
              </w:rPr>
            </w:pPr>
            <w:r>
              <w:rPr>
                <w:b/>
                <w:caps/>
                <w:sz w:val="17"/>
              </w:rPr>
            </w:r>
          </w:p>
          <w:p>
            <w:pPr>
              <w:pStyle w:val="Normal"/>
              <w:jc w:val="center"/>
              <w:rPr>
                <w:b/>
                <w:caps/>
                <w:sz w:val="17"/>
              </w:rPr>
            </w:pPr>
            <w:r>
              <w:rPr>
                <w:b/>
                <w:caps/>
                <w:sz w:val="17"/>
              </w:rPr>
              <w:t>Counterparty</w:t>
            </w:r>
          </w:p>
        </w:tc>
        <w:tc>
          <w:tcPr>
            <w:tcW w:w="1620" w:type="dxa"/>
            <w:tcBorders>
              <w:top w:val="single" w:sz="12" w:space="0" w:color="000000"/>
              <w:start w:val="single" w:sz="6" w:space="0" w:color="000000"/>
              <w:end w:val="single" w:sz="6" w:space="0" w:color="000000"/>
            </w:tcBorders>
            <w:shd w:fill="CCCCCC" w:val="clear"/>
          </w:tcPr>
          <w:p>
            <w:pPr>
              <w:pStyle w:val="Normal"/>
              <w:snapToGrid w:val="false"/>
              <w:rPr>
                <w:b/>
                <w:caps/>
                <w:sz w:val="17"/>
              </w:rPr>
            </w:pPr>
            <w:r>
              <w:rPr>
                <w:b/>
                <w:caps/>
                <w:sz w:val="17"/>
              </w:rPr>
            </w:r>
          </w:p>
          <w:p>
            <w:pPr>
              <w:pStyle w:val="Normal"/>
              <w:rPr>
                <w:b/>
                <w:caps/>
                <w:sz w:val="17"/>
              </w:rPr>
            </w:pPr>
            <w:r>
              <w:rPr>
                <w:b/>
                <w:caps/>
                <w:sz w:val="17"/>
              </w:rPr>
            </w:r>
          </w:p>
          <w:p>
            <w:pPr>
              <w:pStyle w:val="Normal"/>
              <w:jc w:val="center"/>
              <w:rPr>
                <w:b/>
                <w:caps/>
                <w:sz w:val="17"/>
              </w:rPr>
            </w:pPr>
            <w:r>
              <w:rPr>
                <w:b/>
                <w:caps/>
                <w:sz w:val="17"/>
              </w:rPr>
              <w:t>Contract type</w:t>
            </w:r>
          </w:p>
        </w:tc>
        <w:tc>
          <w:tcPr>
            <w:tcW w:w="1440" w:type="dxa"/>
            <w:tcBorders>
              <w:top w:val="single" w:sz="12" w:space="0" w:color="000000"/>
              <w:start w:val="single" w:sz="6" w:space="0" w:color="000000"/>
              <w:end w:val="single" w:sz="6" w:space="0" w:color="000000"/>
            </w:tcBorders>
            <w:shd w:fill="CCCCCC" w:val="clear"/>
          </w:tcPr>
          <w:p>
            <w:pPr>
              <w:pStyle w:val="Normal"/>
              <w:snapToGrid w:val="false"/>
              <w:jc w:val="center"/>
              <w:rPr>
                <w:b/>
                <w:caps/>
                <w:sz w:val="17"/>
              </w:rPr>
            </w:pPr>
            <w:r>
              <w:rPr>
                <w:b/>
                <w:caps/>
                <w:sz w:val="17"/>
              </w:rPr>
            </w:r>
          </w:p>
          <w:p>
            <w:pPr>
              <w:pStyle w:val="Normal"/>
              <w:jc w:val="center"/>
              <w:rPr>
                <w:b/>
                <w:caps/>
                <w:sz w:val="17"/>
              </w:rPr>
            </w:pPr>
            <w:r>
              <w:rPr>
                <w:b/>
                <w:caps/>
                <w:sz w:val="17"/>
              </w:rPr>
            </w:r>
          </w:p>
          <w:p>
            <w:pPr>
              <w:pStyle w:val="Normal"/>
              <w:jc w:val="center"/>
              <w:rPr>
                <w:b/>
                <w:caps/>
                <w:sz w:val="17"/>
              </w:rPr>
            </w:pPr>
            <w:r>
              <w:rPr>
                <w:b/>
                <w:caps/>
                <w:sz w:val="17"/>
              </w:rPr>
              <w:t>enron entity</w:t>
            </w:r>
          </w:p>
        </w:tc>
        <w:tc>
          <w:tcPr>
            <w:tcW w:w="810" w:type="dxa"/>
            <w:tcBorders>
              <w:top w:val="single" w:sz="12" w:space="0" w:color="000000"/>
              <w:start w:val="single" w:sz="6" w:space="0" w:color="000000"/>
              <w:end w:val="single" w:sz="6" w:space="0" w:color="000000"/>
            </w:tcBorders>
            <w:shd w:fill="CCCCCC" w:val="clear"/>
          </w:tcPr>
          <w:p>
            <w:pPr>
              <w:pStyle w:val="Normal"/>
              <w:snapToGrid w:val="false"/>
              <w:rPr>
                <w:b/>
                <w:caps/>
                <w:sz w:val="17"/>
              </w:rPr>
            </w:pPr>
            <w:r>
              <w:rPr>
                <w:b/>
                <w:caps/>
                <w:sz w:val="17"/>
              </w:rPr>
            </w:r>
          </w:p>
          <w:p>
            <w:pPr>
              <w:pStyle w:val="Normal"/>
              <w:rPr>
                <w:b/>
                <w:caps/>
                <w:sz w:val="17"/>
              </w:rPr>
            </w:pPr>
            <w:r>
              <w:rPr>
                <w:b/>
                <w:caps/>
                <w:sz w:val="17"/>
              </w:rPr>
            </w:r>
          </w:p>
          <w:p>
            <w:pPr>
              <w:pStyle w:val="Normal"/>
              <w:jc w:val="center"/>
              <w:rPr>
                <w:b/>
                <w:caps/>
                <w:sz w:val="17"/>
              </w:rPr>
            </w:pPr>
            <w:r>
              <w:rPr>
                <w:b/>
                <w:caps/>
                <w:sz w:val="17"/>
              </w:rPr>
              <w:t>Date</w:t>
            </w:r>
          </w:p>
        </w:tc>
        <w:tc>
          <w:tcPr>
            <w:tcW w:w="2430" w:type="dxa"/>
            <w:tcBorders>
              <w:top w:val="single" w:sz="12" w:space="0" w:color="000000"/>
              <w:start w:val="single" w:sz="6" w:space="0" w:color="000000"/>
              <w:end w:val="single" w:sz="6" w:space="0" w:color="000000"/>
            </w:tcBorders>
            <w:shd w:fill="CCCCCC" w:val="clear"/>
          </w:tcPr>
          <w:p>
            <w:pPr>
              <w:pStyle w:val="Normal"/>
              <w:snapToGrid w:val="false"/>
              <w:rPr>
                <w:b/>
                <w:caps/>
                <w:sz w:val="17"/>
              </w:rPr>
            </w:pPr>
            <w:r>
              <w:rPr>
                <w:b/>
                <w:caps/>
                <w:sz w:val="17"/>
              </w:rPr>
            </w:r>
          </w:p>
          <w:p>
            <w:pPr>
              <w:pStyle w:val="Normal"/>
              <w:jc w:val="center"/>
              <w:rPr>
                <w:b/>
                <w:caps/>
                <w:sz w:val="17"/>
              </w:rPr>
            </w:pPr>
            <w:r>
              <w:rPr>
                <w:b/>
                <w:caps/>
                <w:sz w:val="17"/>
              </w:rPr>
              <w:t>TERM Provisions</w:t>
            </w:r>
          </w:p>
        </w:tc>
        <w:tc>
          <w:tcPr>
            <w:tcW w:w="2520" w:type="dxa"/>
            <w:tcBorders>
              <w:top w:val="single" w:sz="12" w:space="0" w:color="000000"/>
              <w:start w:val="single" w:sz="6" w:space="0" w:color="000000"/>
              <w:end w:val="single" w:sz="6" w:space="0" w:color="000000"/>
            </w:tcBorders>
            <w:shd w:fill="CCCCCC" w:val="clear"/>
          </w:tcPr>
          <w:p>
            <w:pPr>
              <w:pStyle w:val="Normal"/>
              <w:snapToGrid w:val="false"/>
              <w:jc w:val="center"/>
              <w:rPr>
                <w:b/>
                <w:caps/>
                <w:sz w:val="17"/>
              </w:rPr>
            </w:pPr>
            <w:r>
              <w:rPr>
                <w:b/>
                <w:caps/>
                <w:sz w:val="17"/>
              </w:rPr>
            </w:r>
          </w:p>
          <w:p>
            <w:pPr>
              <w:pStyle w:val="Normal"/>
              <w:jc w:val="center"/>
              <w:rPr>
                <w:b/>
                <w:caps/>
                <w:sz w:val="17"/>
              </w:rPr>
            </w:pPr>
            <w:r>
              <w:rPr>
                <w:b/>
                <w:caps/>
                <w:sz w:val="17"/>
              </w:rPr>
              <w:t>Assignment Provisions</w:t>
            </w:r>
          </w:p>
          <w:p>
            <w:pPr>
              <w:pStyle w:val="Normal"/>
              <w:jc w:val="center"/>
              <w:rPr>
                <w:b/>
                <w:caps/>
                <w:sz w:val="17"/>
              </w:rPr>
            </w:pPr>
            <w:r>
              <w:rPr>
                <w:b/>
                <w:caps/>
                <w:sz w:val="17"/>
              </w:rPr>
            </w:r>
          </w:p>
        </w:tc>
        <w:tc>
          <w:tcPr>
            <w:tcW w:w="1980" w:type="dxa"/>
            <w:tcBorders>
              <w:top w:val="single" w:sz="12" w:space="0" w:color="000000"/>
              <w:start w:val="single" w:sz="6" w:space="0" w:color="000000"/>
              <w:end w:val="single" w:sz="6" w:space="0" w:color="000000"/>
            </w:tcBorders>
            <w:shd w:fill="CCCCCC" w:val="clear"/>
          </w:tcPr>
          <w:p>
            <w:pPr>
              <w:pStyle w:val="Normal"/>
              <w:jc w:val="center"/>
              <w:rPr>
                <w:b/>
                <w:caps/>
                <w:sz w:val="17"/>
              </w:rPr>
            </w:pPr>
            <w:r>
              <w:rPr>
                <w:b/>
                <w:caps/>
                <w:sz w:val="17"/>
              </w:rPr>
              <w:t>Purchase agreement any REFERENCE TO assignment of Gathering Agreements</w:t>
            </w:r>
          </w:p>
        </w:tc>
        <w:tc>
          <w:tcPr>
            <w:tcW w:w="2340" w:type="dxa"/>
            <w:tcBorders>
              <w:top w:val="single" w:sz="12" w:space="0" w:color="000000"/>
              <w:start w:val="single" w:sz="6" w:space="0" w:color="000000"/>
              <w:end w:val="single" w:sz="6" w:space="0" w:color="000000"/>
            </w:tcBorders>
            <w:shd w:fill="CCCCCC" w:val="clear"/>
          </w:tcPr>
          <w:p>
            <w:pPr>
              <w:pStyle w:val="Normal"/>
              <w:jc w:val="center"/>
              <w:rPr>
                <w:b/>
                <w:caps/>
                <w:sz w:val="17"/>
              </w:rPr>
            </w:pPr>
            <w:r>
              <w:rPr>
                <w:b/>
                <w:caps/>
                <w:sz w:val="17"/>
              </w:rPr>
              <w:t>Confidentiality Provisions</w:t>
            </w:r>
          </w:p>
        </w:tc>
        <w:tc>
          <w:tcPr>
            <w:tcW w:w="3060" w:type="dxa"/>
            <w:tcBorders>
              <w:top w:val="single" w:sz="12" w:space="0" w:color="000000"/>
              <w:start w:val="single" w:sz="6" w:space="0" w:color="000000"/>
              <w:end w:val="single" w:sz="6" w:space="0" w:color="000000"/>
            </w:tcBorders>
            <w:shd w:fill="CCCCCC" w:val="clear"/>
          </w:tcPr>
          <w:p>
            <w:pPr>
              <w:pStyle w:val="Normal"/>
              <w:jc w:val="center"/>
              <w:rPr>
                <w:b/>
                <w:caps/>
                <w:sz w:val="17"/>
              </w:rPr>
            </w:pPr>
            <w:r>
              <w:rPr>
                <w:b/>
                <w:caps/>
                <w:sz w:val="17"/>
              </w:rPr>
              <w:t>Gathering Fees</w:t>
            </w:r>
          </w:p>
        </w:tc>
      </w:tr>
      <w:tr>
        <w:trPr/>
        <w:tc>
          <w:tcPr>
            <w:tcW w:w="4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jc w:val="center"/>
              <w:rPr>
                <w:caps/>
                <w:sz w:val="17"/>
              </w:rPr>
            </w:pPr>
            <w:r>
              <w:rPr>
                <w:caps/>
                <w:sz w:val="17"/>
              </w:rPr>
              <w:t>6.</w:t>
              <w:tab/>
            </w:r>
          </w:p>
        </w:tc>
        <w:tc>
          <w:tcPr>
            <w:tcW w:w="1662" w:type="dxa"/>
            <w:tcBorders>
              <w:top w:val="single" w:sz="6" w:space="0" w:color="000000"/>
              <w:start w:val="single" w:sz="6" w:space="0" w:color="000000"/>
              <w:bottom w:val="single" w:sz="6" w:space="0" w:color="000000"/>
              <w:end w:val="single" w:sz="6" w:space="0" w:color="000000"/>
            </w:tcBorders>
          </w:tcPr>
          <w:p>
            <w:pPr>
              <w:pStyle w:val="Normal"/>
              <w:rPr/>
            </w:pPr>
            <w:r>
              <w:rPr>
                <w:rStyle w:val="CommentReference"/>
                <w:sz w:val="17"/>
              </w:rPr>
              <w:t>Westport Oil and Gas Company, Inc.</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Field Services Agreement</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caps/>
                <w:sz w:val="17"/>
              </w:rPr>
            </w:pPr>
            <w:r>
              <w:rPr>
                <w:caps/>
                <w:sz w:val="17"/>
              </w:rPr>
              <w:t>Enron Midstream Services,</w:t>
            </w:r>
          </w:p>
          <w:p>
            <w:pPr>
              <w:pStyle w:val="Normal"/>
              <w:jc w:val="center"/>
              <w:rPr>
                <w:caps/>
                <w:sz w:val="17"/>
              </w:rPr>
            </w:pPr>
            <w:r>
              <w:rPr>
                <w:caps/>
                <w:sz w:val="17"/>
              </w:rPr>
              <w:t xml:space="preserve"> </w:t>
            </w:r>
            <w:r>
              <w:rPr>
                <w:caps/>
                <w:sz w:val="17"/>
              </w:rPr>
              <w:t>L. L. C.</w:t>
            </w:r>
          </w:p>
        </w:tc>
        <w:tc>
          <w:tcPr>
            <w:tcW w:w="81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12/1/99</w:t>
            </w:r>
          </w:p>
        </w:tc>
        <w:tc>
          <w:tcPr>
            <w:tcW w:w="243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Ten years from the effective date (12/1/99) and year to year thereafter with 90 days notice</w:t>
            </w:r>
          </w:p>
        </w:tc>
        <w:tc>
          <w:tcPr>
            <w:tcW w:w="252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Provider (EMS) cannot assign without written consent except to any parent or affiliate or purchaser of the Field Service Facilities if assginment made subject to the Agreement and assignee to assume obligations of Provider and by furnishing copy of same to owner within 30 days of execution.  In the Event 30 days goes by without notification from parties, consent is deemed to be approved.</w:t>
            </w:r>
          </w:p>
        </w:tc>
        <w:tc>
          <w:tcPr>
            <w:tcW w:w="198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No Purchase Agreement</w:t>
            </w:r>
          </w:p>
        </w:tc>
        <w:tc>
          <w:tcPr>
            <w:tcW w:w="2340"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Parties will not disclose any provision to any 3</w:t>
            </w:r>
            <w:r>
              <w:rPr>
                <w:caps/>
                <w:sz w:val="17"/>
                <w:vertAlign w:val="superscript"/>
              </w:rPr>
              <w:t>rd</w:t>
            </w:r>
            <w:r>
              <w:rPr>
                <w:caps/>
                <w:sz w:val="17"/>
              </w:rPr>
              <w:t xml:space="preserve"> Party (other than the Party’s and its affiliates employees, lenders, counsel, accountants or prospective purchasers of any rights hereunder who have agreed to keep such terms confidential.  No mention of Notice of Contract.</w:t>
            </w:r>
          </w:p>
        </w:tc>
        <w:tc>
          <w:tcPr>
            <w:tcW w:w="306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The initial Field Services Fee for Field9 Services shall be $0.50 per MCf, plus the actual fuel and shrinkage, for owner’s quantity of gas as measured at the measurement point(s).  The parties acknowledge that the $0.50 plus the actual fuel and shrinkage component of the field Services fee is comprised of (1) $.20/Mcf for field services upstream of compression (2) $.15/mcf for compression plus actual fuel and shrinkage, and (3) $.15/Mcf for field services downstream of compression.</w:t>
            </w:r>
          </w:p>
        </w:tc>
      </w:tr>
      <w:tr>
        <w:trPr/>
        <w:tc>
          <w:tcPr>
            <w:tcW w:w="4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snapToGrid w:val="false"/>
              <w:jc w:val="center"/>
              <w:rPr>
                <w:caps/>
                <w:sz w:val="17"/>
              </w:rPr>
            </w:pPr>
            <w:r>
              <w:rPr>
                <w:caps/>
                <w:sz w:val="17"/>
              </w:rPr>
            </w:r>
          </w:p>
        </w:tc>
        <w:tc>
          <w:tcPr>
            <w:tcW w:w="1662" w:type="dxa"/>
            <w:tcBorders>
              <w:top w:val="single" w:sz="6" w:space="0" w:color="000000"/>
              <w:start w:val="single" w:sz="6" w:space="0" w:color="000000"/>
              <w:bottom w:val="single" w:sz="6" w:space="0" w:color="000000"/>
              <w:end w:val="single" w:sz="6" w:space="0" w:color="000000"/>
            </w:tcBorders>
          </w:tcPr>
          <w:p>
            <w:pPr>
              <w:pStyle w:val="Normal"/>
              <w:rPr/>
            </w:pPr>
            <w:r>
              <w:rPr>
                <w:rStyle w:val="CommentReference"/>
                <w:sz w:val="17"/>
              </w:rPr>
              <w:t>Petrogulf Corporation</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Gathering Services Agreement</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caps/>
                <w:sz w:val="17"/>
              </w:rPr>
            </w:pPr>
            <w:r>
              <w:rPr>
                <w:caps/>
                <w:sz w:val="17"/>
              </w:rPr>
              <w:t>Enron Midstream Services, L.L.C.</w:t>
            </w:r>
          </w:p>
        </w:tc>
        <w:tc>
          <w:tcPr>
            <w:tcW w:w="81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11/3/99</w:t>
            </w:r>
          </w:p>
        </w:tc>
        <w:tc>
          <w:tcPr>
            <w:tcW w:w="243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10 years from WIC In-Service date (12/1/99) and year to year therafter with 90 days notice</w:t>
            </w:r>
          </w:p>
        </w:tc>
        <w:tc>
          <w:tcPr>
            <w:tcW w:w="252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Silent as to Gatherer (EMS).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Silent</w:t>
            </w:r>
          </w:p>
        </w:tc>
        <w:tc>
          <w:tcPr>
            <w:tcW w:w="2340"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Parties will not disclose any provision to any 3</w:t>
            </w:r>
            <w:r>
              <w:rPr>
                <w:caps/>
                <w:sz w:val="17"/>
                <w:vertAlign w:val="superscript"/>
              </w:rPr>
              <w:t>rd</w:t>
            </w:r>
            <w:r>
              <w:rPr>
                <w:caps/>
                <w:sz w:val="17"/>
              </w:rPr>
              <w:t xml:space="preserve"> Party (other than the Party’s and its affiliates employees, lenders, counsel, accountants or prospective purchasers of any rights hereunder who have agreed to keep such terms confidential.  No mention of Notice of Contract.</w:t>
            </w:r>
          </w:p>
        </w:tc>
        <w:tc>
          <w:tcPr>
            <w:tcW w:w="306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The gathering fee shall be $0.45/mcf, plus actual fuel and shrinkage not to exceed 7%, of owner’s quantity of gas as measured at the measurement Points.  if the cumulative volume of gas produced by owner under the reserve commitment area and gathered by gatherer hereunder equals 12 bcf by december 31,2000 or 25 bcf by 12/31/2001, or 33 bcf by 12/31/2002 then the gathering fee shall be reduced by $0.02 per mcf for volumes delivered thereafter.</w:t>
            </w:r>
          </w:p>
        </w:tc>
      </w:tr>
      <w:tr>
        <w:trPr/>
        <w:tc>
          <w:tcPr>
            <w:tcW w:w="408" w:type="dxa"/>
            <w:tcBorders>
              <w:top w:val="single" w:sz="6" w:space="0" w:color="000000"/>
              <w:start w:val="single" w:sz="12" w:space="0" w:color="000000"/>
              <w:bottom w:val="single" w:sz="6" w:space="0" w:color="000000"/>
              <w:end w:val="single" w:sz="6" w:space="0" w:color="000000"/>
            </w:tcBorders>
          </w:tcPr>
          <w:p>
            <w:pPr>
              <w:pStyle w:val="Normal"/>
              <w:rPr>
                <w:caps/>
                <w:sz w:val="17"/>
              </w:rPr>
            </w:pPr>
            <w:r>
              <w:rPr>
                <w:caps/>
                <w:sz w:val="17"/>
              </w:rPr>
              <w:t>3.</w:t>
            </w:r>
          </w:p>
        </w:tc>
        <w:tc>
          <w:tcPr>
            <w:tcW w:w="1662" w:type="dxa"/>
            <w:tcBorders>
              <w:top w:val="single" w:sz="6" w:space="0" w:color="000000"/>
              <w:start w:val="single" w:sz="6" w:space="0" w:color="000000"/>
              <w:bottom w:val="single" w:sz="6" w:space="0" w:color="000000"/>
              <w:end w:val="single" w:sz="6" w:space="0" w:color="000000"/>
            </w:tcBorders>
          </w:tcPr>
          <w:p>
            <w:pPr>
              <w:pStyle w:val="Normal"/>
              <w:rPr/>
            </w:pPr>
            <w:r>
              <w:rPr>
                <w:rStyle w:val="CommentReference"/>
                <w:sz w:val="17"/>
              </w:rPr>
              <w:t>Ocean Energy Resources, Inc.</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Gathering Services Agreement</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caps/>
                <w:sz w:val="17"/>
              </w:rPr>
            </w:pPr>
            <w:r>
              <w:rPr>
                <w:caps/>
                <w:sz w:val="17"/>
              </w:rPr>
              <w:t>Enron Midstream Services, L.L.C.</w:t>
            </w:r>
          </w:p>
        </w:tc>
        <w:tc>
          <w:tcPr>
            <w:tcW w:w="81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9/10/99</w:t>
            </w:r>
          </w:p>
        </w:tc>
        <w:tc>
          <w:tcPr>
            <w:tcW w:w="243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 xml:space="preserve">10 years from Fort Union Gas Gathering In-Service date (9/1/99) and year to year thereafter with 30 days notice </w:t>
            </w:r>
          </w:p>
        </w:tc>
        <w:tc>
          <w:tcPr>
            <w:tcW w:w="252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 xml:space="preserve">Neither party may assign without written CONSENT AND  (i) only to credit worthy party as defined by Dunn &amp; Brad, (ii) made expressly subject to agreement (iii) furnish receipt of document within 10 DAYS AFTER execution </w:t>
            </w:r>
          </w:p>
        </w:tc>
        <w:tc>
          <w:tcPr>
            <w:tcW w:w="198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Silent</w:t>
            </w:r>
          </w:p>
        </w:tc>
        <w:tc>
          <w:tcPr>
            <w:tcW w:w="2340"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Parties will not disclose any provision to any 3</w:t>
            </w:r>
            <w:r>
              <w:rPr>
                <w:caps/>
                <w:sz w:val="17"/>
                <w:vertAlign w:val="superscript"/>
              </w:rPr>
              <w:t>rd</w:t>
            </w:r>
            <w:r>
              <w:rPr>
                <w:caps/>
                <w:sz w:val="17"/>
              </w:rPr>
              <w:t xml:space="preserve"> Party (other than the Party’s and its affiliates employees, lenders, counsel, accountants or prospective purchasers of any rights hereunder who have agreed to keep such terms confidential) except to comply with law with respect to Notice of Gas Contract to the Gas Purchase Agreement.  </w:t>
            </w:r>
          </w:p>
        </w:tc>
        <w:tc>
          <w:tcPr>
            <w:tcW w:w="306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 xml:space="preserve">The gathering fee shall be $0.415/mcf for producer’s allocated quantity of gas.  after the total of producer’s gas purchased under the gas purchase agreement and or producer’s allcated quantity of gas delivered hereunder at the redelivery points gathering hereunder equals 48 bcf, the gathering fee shall be reduced to $0.38/mcf of gas.  the gathering fee shall be an all inclusive deduction, irrespective of which transporter receive producer’s allocated quantity of gas.  </w:t>
            </w:r>
          </w:p>
        </w:tc>
      </w:tr>
      <w:tr>
        <w:trPr/>
        <w:tc>
          <w:tcPr>
            <w:tcW w:w="408" w:type="dxa"/>
            <w:tcBorders>
              <w:top w:val="single" w:sz="6" w:space="0" w:color="000000"/>
              <w:start w:val="single" w:sz="12" w:space="0" w:color="000000"/>
              <w:bottom w:val="single" w:sz="6" w:space="0" w:color="000000"/>
              <w:end w:val="single" w:sz="6" w:space="0" w:color="000000"/>
            </w:tcBorders>
          </w:tcPr>
          <w:p>
            <w:pPr>
              <w:pStyle w:val="Normal"/>
              <w:rPr>
                <w:caps/>
                <w:sz w:val="17"/>
              </w:rPr>
            </w:pPr>
            <w:r>
              <w:rPr>
                <w:caps/>
                <w:sz w:val="17"/>
              </w:rPr>
              <w:t>4.</w:t>
            </w:r>
          </w:p>
        </w:tc>
        <w:tc>
          <w:tcPr>
            <w:tcW w:w="1662" w:type="dxa"/>
            <w:tcBorders>
              <w:top w:val="single" w:sz="6" w:space="0" w:color="000000"/>
              <w:start w:val="single" w:sz="6" w:space="0" w:color="000000"/>
              <w:bottom w:val="single" w:sz="6" w:space="0" w:color="000000"/>
              <w:end w:val="single" w:sz="6" w:space="0" w:color="000000"/>
            </w:tcBorders>
          </w:tcPr>
          <w:p>
            <w:pPr>
              <w:pStyle w:val="Normal"/>
              <w:rPr/>
            </w:pPr>
            <w:r>
              <w:rPr>
                <w:rStyle w:val="CommentReference"/>
                <w:sz w:val="17"/>
              </w:rPr>
              <w:t>Sapphire Bay, L.L.C. and Independent Production Company, Inc.</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Field Services Agreement</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caps/>
                <w:sz w:val="17"/>
              </w:rPr>
            </w:pPr>
            <w:r>
              <w:rPr>
                <w:caps/>
                <w:sz w:val="17"/>
              </w:rPr>
              <w:t>Enron Midstream Services, L.L.C.</w:t>
            </w:r>
          </w:p>
        </w:tc>
        <w:tc>
          <w:tcPr>
            <w:tcW w:w="81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8/31/99</w:t>
            </w:r>
          </w:p>
        </w:tc>
        <w:tc>
          <w:tcPr>
            <w:tcW w:w="243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10 years from WIC In-Service Date(12/1/99)  and year to year thereafter with 90 days notice</w:t>
            </w:r>
          </w:p>
        </w:tc>
        <w:tc>
          <w:tcPr>
            <w:tcW w:w="252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Silent as to Gatherer (EMS).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Silent</w:t>
            </w:r>
          </w:p>
        </w:tc>
        <w:tc>
          <w:tcPr>
            <w:tcW w:w="2340"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Parties will not disclose any provision to any 3</w:t>
            </w:r>
            <w:r>
              <w:rPr>
                <w:caps/>
                <w:sz w:val="17"/>
                <w:vertAlign w:val="superscript"/>
              </w:rPr>
              <w:t>rd</w:t>
            </w:r>
            <w:r>
              <w:rPr>
                <w:caps/>
                <w:sz w:val="17"/>
              </w:rPr>
              <w:t xml:space="preserve"> Party (other than the Party’s and its affiliates employees, lenders, counsel, accountants or prospective purchasers of any rights hereunder who have agreed to keep such terms confidential.  No mention of Notice of Contract.</w:t>
            </w:r>
          </w:p>
        </w:tc>
        <w:tc>
          <w:tcPr>
            <w:tcW w:w="306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the field services fee for owner’s quantity of gas as measured at the receipt points shall be $0.35/mcf.  if the total cumulative volume of gas produced under the reserve commitment area hereunder equals 22 bcf by 12/31/2002, then the fee shall be reduced by $0.02 per mcf.  at the end of the primary term the fee shall be reduced by $0.005/mcf.  in addition the owner shall pay a collection facilities fee of $.13/mcf for (i) all quantities of gas measured at the receipt point(s) plus (ii) all excess gas measured at any third party receipt point(s).  The collection fee shall terminate upon receipt by provider of SUFFICIENT COLLECTION facilities fee which shall result in a return of a 22.5% rate of retrun on the funded amount.</w:t>
            </w:r>
          </w:p>
        </w:tc>
      </w:tr>
      <w:tr>
        <w:trPr>
          <w:trHeight w:val="363" w:hRule="atLeast"/>
        </w:trPr>
        <w:tc>
          <w:tcPr>
            <w:tcW w:w="408" w:type="dxa"/>
            <w:tcBorders>
              <w:top w:val="single" w:sz="6" w:space="0" w:color="000000"/>
              <w:start w:val="single" w:sz="12" w:space="0" w:color="000000"/>
              <w:bottom w:val="single" w:sz="6" w:space="0" w:color="000000"/>
              <w:end w:val="single" w:sz="6" w:space="0" w:color="000000"/>
            </w:tcBorders>
          </w:tcPr>
          <w:p>
            <w:pPr>
              <w:pStyle w:val="Normal"/>
              <w:rPr>
                <w:caps/>
                <w:sz w:val="17"/>
              </w:rPr>
            </w:pPr>
            <w:r>
              <w:rPr>
                <w:caps/>
                <w:sz w:val="17"/>
              </w:rPr>
              <w:t>5.</w:t>
            </w:r>
          </w:p>
        </w:tc>
        <w:tc>
          <w:tcPr>
            <w:tcW w:w="1662" w:type="dxa"/>
            <w:tcBorders>
              <w:top w:val="single" w:sz="6" w:space="0" w:color="000000"/>
              <w:start w:val="single" w:sz="6" w:space="0" w:color="000000"/>
              <w:bottom w:val="single" w:sz="6" w:space="0" w:color="000000"/>
              <w:end w:val="single" w:sz="6" w:space="0" w:color="000000"/>
            </w:tcBorders>
          </w:tcPr>
          <w:p>
            <w:pPr>
              <w:pStyle w:val="Normal"/>
              <w:rPr/>
            </w:pPr>
            <w:r>
              <w:rPr>
                <w:rStyle w:val="CommentReference"/>
                <w:sz w:val="17"/>
              </w:rPr>
              <w:t>Wellstar Corporation</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Gathering Services Agreement</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caps/>
                <w:sz w:val="17"/>
              </w:rPr>
            </w:pPr>
            <w:r>
              <w:rPr>
                <w:caps/>
                <w:sz w:val="17"/>
              </w:rPr>
              <w:t>Enron Midstream Services, L.L.C.</w:t>
            </w:r>
          </w:p>
        </w:tc>
        <w:tc>
          <w:tcPr>
            <w:tcW w:w="81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10/25/99</w:t>
            </w:r>
          </w:p>
        </w:tc>
        <w:tc>
          <w:tcPr>
            <w:tcW w:w="243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10 years from WIC In-Service Date (12-1-99) and year to year thereafter with 90 days notice</w:t>
            </w:r>
          </w:p>
        </w:tc>
        <w:tc>
          <w:tcPr>
            <w:tcW w:w="252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Silent as to Gatherer (EMS).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Silent</w:t>
            </w:r>
          </w:p>
        </w:tc>
        <w:tc>
          <w:tcPr>
            <w:tcW w:w="2340"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Parties will not disclose any provision to any 3</w:t>
            </w:r>
            <w:r>
              <w:rPr>
                <w:caps/>
                <w:sz w:val="17"/>
                <w:vertAlign w:val="superscript"/>
              </w:rPr>
              <w:t>rd</w:t>
            </w:r>
            <w:r>
              <w:rPr>
                <w:caps/>
                <w:sz w:val="17"/>
              </w:rPr>
              <w:t xml:space="preserve"> Party (other than the Party’s and its affiliates employees, lenders, counsel, accountants or prospective purchasers of any rights hereunder who have agreed to keep such terms confidential.  No mention of Notice of Contract.</w:t>
            </w:r>
          </w:p>
        </w:tc>
        <w:tc>
          <w:tcPr>
            <w:tcW w:w="306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The gathering fee shall be $0.39/mcf, plus actual fuel and shrinkage not to exceed 8%, of owner’s quantity of gas as measured at the measurement Points.  if the total volume of gas purchased by buyer under the gas purchase agreement and gathered by gatherer hereunder equals 7.5 bcf by January 1, 2003 then the gathering fee shall be reduced by $0.02 per mcf for volumes delivered thereafter.</w:t>
            </w:r>
          </w:p>
        </w:tc>
      </w:tr>
      <w:tr>
        <w:trPr/>
        <w:tc>
          <w:tcPr>
            <w:tcW w:w="408" w:type="dxa"/>
            <w:tcBorders>
              <w:top w:val="single" w:sz="6" w:space="0" w:color="000000"/>
              <w:start w:val="single" w:sz="12" w:space="0" w:color="000000"/>
              <w:bottom w:val="single" w:sz="6" w:space="0" w:color="000000"/>
              <w:end w:val="single" w:sz="6" w:space="0" w:color="000000"/>
            </w:tcBorders>
          </w:tcPr>
          <w:p>
            <w:pPr>
              <w:pStyle w:val="Normal"/>
              <w:rPr>
                <w:caps/>
                <w:sz w:val="17"/>
              </w:rPr>
            </w:pPr>
            <w:r>
              <w:rPr>
                <w:caps/>
                <w:sz w:val="17"/>
              </w:rPr>
              <w:t>6.</w:t>
            </w:r>
          </w:p>
        </w:tc>
        <w:tc>
          <w:tcPr>
            <w:tcW w:w="1662" w:type="dxa"/>
            <w:tcBorders>
              <w:top w:val="single" w:sz="6" w:space="0" w:color="000000"/>
              <w:start w:val="single" w:sz="6" w:space="0" w:color="000000"/>
              <w:bottom w:val="single" w:sz="6" w:space="0" w:color="000000"/>
              <w:end w:val="single" w:sz="6" w:space="0" w:color="000000"/>
            </w:tcBorders>
          </w:tcPr>
          <w:p>
            <w:pPr>
              <w:pStyle w:val="Normal"/>
              <w:rPr/>
            </w:pPr>
            <w:r>
              <w:rPr>
                <w:rStyle w:val="CommentReference"/>
                <w:sz w:val="17"/>
              </w:rPr>
              <w:t xml:space="preserve">Kennedy Oil </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Field Services Agreement</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caps/>
                <w:sz w:val="17"/>
              </w:rPr>
            </w:pPr>
            <w:r>
              <w:rPr>
                <w:caps/>
                <w:sz w:val="17"/>
              </w:rPr>
              <w:t>Enron Midstream Services, L.L.C.</w:t>
            </w:r>
          </w:p>
        </w:tc>
        <w:tc>
          <w:tcPr>
            <w:tcW w:w="81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8/27/99</w:t>
            </w:r>
          </w:p>
        </w:tc>
        <w:tc>
          <w:tcPr>
            <w:tcW w:w="243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10 years from Fort Union In-Service Date (9/1/99) and year to year thereafter with 30 days notice</w:t>
            </w:r>
          </w:p>
        </w:tc>
        <w:tc>
          <w:tcPr>
            <w:tcW w:w="252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Silent as to Provider (EMS)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Silent</w:t>
            </w:r>
          </w:p>
        </w:tc>
        <w:tc>
          <w:tcPr>
            <w:tcW w:w="2340"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Parties will not disclose any provision to any 3</w:t>
            </w:r>
            <w:r>
              <w:rPr>
                <w:caps/>
                <w:sz w:val="17"/>
                <w:vertAlign w:val="superscript"/>
              </w:rPr>
              <w:t>rd</w:t>
            </w:r>
            <w:r>
              <w:rPr>
                <w:caps/>
                <w:sz w:val="17"/>
              </w:rPr>
              <w:t xml:space="preserve"> Party (other than the Party’s and its affiliates employees, lenders, counsel, accountants or prospective purchasers of any rights hereunder who have agreed to keep such terms confidential.  No mention of Notice of Contract.</w:t>
            </w:r>
          </w:p>
        </w:tc>
        <w:tc>
          <w:tcPr>
            <w:tcW w:w="3060" w:type="dxa"/>
            <w:tcBorders>
              <w:top w:val="single" w:sz="6" w:space="0" w:color="000000"/>
              <w:start w:val="single" w:sz="6" w:space="0" w:color="000000"/>
              <w:bottom w:val="single" w:sz="6" w:space="0" w:color="000000"/>
              <w:end w:val="single" w:sz="6" w:space="0" w:color="000000"/>
            </w:tcBorders>
          </w:tcPr>
          <w:p>
            <w:pPr>
              <w:pStyle w:val="Heading2"/>
              <w:ind w:hanging="0" w:end="0"/>
              <w:jc w:val="start"/>
              <w:rPr/>
            </w:pPr>
            <w:r>
              <w:rPr>
                <w:sz w:val="14"/>
              </w:rPr>
              <w:t>a. The Field Services Fee for Field Services from that portion of the Reserve Commitment Area specified as the North Kitty area shall be $0.47/ MMBtu Owner’s Gas as measured at the Measurement Points(s), plus actual fuel and shrink not to exceed 7%.  If the total volume of Gas from the North Kitty Area purchased by Buyer under the Gas Purchase Agreement and gathered by Provider hereunder equals 30 Bcf by January 1, 2003 or 50 Bcf by January 1, 2005 then the Field Services Fee shall be reduced by $0.025/ MMBtu for volumes delivered thereafter.  b.The Field Services Fee Reserve Commitment Area specified as the South Kitty area (the "</w:t>
            </w:r>
            <w:r>
              <w:rPr>
                <w:sz w:val="14"/>
                <w:u w:val="single"/>
              </w:rPr>
              <w:t>South Kitty Area</w:t>
            </w:r>
            <w:r>
              <w:rPr>
                <w:sz w:val="14"/>
              </w:rPr>
              <w:t>") shall be $0.61/ MMBtu for Owner's quantity of Gas as measured at the Measurement Point(s), plus actual fuel and shrink not to exceed 7%.</w:t>
            </w:r>
          </w:p>
          <w:p>
            <w:pPr>
              <w:pStyle w:val="Heading2"/>
              <w:ind w:hanging="0" w:end="0"/>
              <w:jc w:val="start"/>
              <w:rPr>
                <w:sz w:val="14"/>
              </w:rPr>
            </w:pPr>
            <w:r>
              <w:rPr>
                <w:sz w:val="14"/>
              </w:rPr>
              <w:t>C. The Field Services Fee above shall be adjusted based on the following production thresholds:</w:t>
            </w:r>
          </w:p>
          <w:p>
            <w:pPr>
              <w:pStyle w:val="Normal"/>
              <w:jc w:val="both"/>
              <w:rPr>
                <w:sz w:val="14"/>
              </w:rPr>
            </w:pPr>
            <w:r>
              <w:rPr>
                <w:sz w:val="14"/>
              </w:rPr>
              <w:t xml:space="preserve">i)If cumulative volume from the South Kitty Area is equal or greater than 17 Bcf on or before January 31, 2002, or, equal to or greater than 26 Bcf on or before January 31, 2003, the Field Services Fee under Section 4.1b will decrease to $0.60 per MMBtu effective the following production month. </w:t>
            </w:r>
          </w:p>
          <w:p>
            <w:pPr>
              <w:pStyle w:val="Normal"/>
              <w:jc w:val="both"/>
              <w:rPr>
                <w:sz w:val="14"/>
              </w:rPr>
            </w:pPr>
            <w:r>
              <w:rPr>
                <w:sz w:val="14"/>
              </w:rPr>
              <w:t xml:space="preserve">(ii)If cumulative volume from the South Kitty Area is equal to 35 Bcf on or before January 31, 2004, the Field Services Fee will decrease to $0.57 per MMBtu effective the following production month. (iii) If cumulative volume from the South Kitty Area less than 15.5 Bcf on January 31, 2002, the Field Services Fee under Section 4.1b will increase to $0.65 per MMBtu effective February 1, 2002. </w:t>
            </w:r>
          </w:p>
          <w:p>
            <w:pPr>
              <w:pStyle w:val="BodyText2"/>
              <w:rPr/>
            </w:pPr>
            <w:r>
              <w:rPr/>
              <w:t xml:space="preserve">(iv) If cumulative volume from the South Kitty Area is less than 25 Bcf on January 31, 2003, the Field Services Fee will increase to $0.68 per MMBtu effective February 1, 2003. </w:t>
            </w:r>
          </w:p>
          <w:p>
            <w:pPr>
              <w:pStyle w:val="BodyText2"/>
              <w:rPr/>
            </w:pPr>
            <w:r>
              <w:rPr/>
              <w:t xml:space="preserve">(v) If cumulative volume from the South Kitty Area is less than 36 Bcf on January 31, 2004, the Field Services Fee increase to $0.68 per MMBtu effective February 1, 2004. </w:t>
            </w:r>
          </w:p>
          <w:p>
            <w:pPr>
              <w:pStyle w:val="Normal"/>
              <w:rPr>
                <w:caps/>
                <w:sz w:val="14"/>
              </w:rPr>
            </w:pPr>
            <w:r>
              <w:rPr>
                <w:sz w:val="14"/>
              </w:rPr>
              <w:t xml:space="preserve">(vi)Subject to Owner's rights under Section 7 of the General Terms and Conditions to this Agreement, if Owner has not drilled and completed 110 wells within the South Kitty Area by October 31, 2000, that Field Services Fee will increase to $0.64 per MMBtu effective the following production month.  </w:t>
            </w:r>
          </w:p>
        </w:tc>
      </w:tr>
      <w:tr>
        <w:trPr/>
        <w:tc>
          <w:tcPr>
            <w:tcW w:w="408" w:type="dxa"/>
            <w:tcBorders>
              <w:top w:val="single" w:sz="6" w:space="0" w:color="000000"/>
              <w:start w:val="single" w:sz="12" w:space="0" w:color="000000"/>
              <w:bottom w:val="single" w:sz="6" w:space="0" w:color="000000"/>
              <w:end w:val="single" w:sz="6" w:space="0" w:color="000000"/>
            </w:tcBorders>
          </w:tcPr>
          <w:p>
            <w:pPr>
              <w:pStyle w:val="Normal"/>
              <w:rPr>
                <w:caps/>
                <w:sz w:val="17"/>
              </w:rPr>
            </w:pPr>
            <w:r>
              <w:rPr>
                <w:caps/>
                <w:sz w:val="17"/>
              </w:rPr>
              <w:t>7.</w:t>
            </w:r>
          </w:p>
        </w:tc>
        <w:tc>
          <w:tcPr>
            <w:tcW w:w="1662" w:type="dxa"/>
            <w:tcBorders>
              <w:top w:val="single" w:sz="6" w:space="0" w:color="000000"/>
              <w:start w:val="single" w:sz="6" w:space="0" w:color="000000"/>
              <w:bottom w:val="single" w:sz="6" w:space="0" w:color="000000"/>
              <w:end w:val="single" w:sz="6" w:space="0" w:color="000000"/>
            </w:tcBorders>
          </w:tcPr>
          <w:p>
            <w:pPr>
              <w:pStyle w:val="Normal"/>
              <w:rPr/>
            </w:pPr>
            <w:r>
              <w:rPr>
                <w:rStyle w:val="CommentReference"/>
                <w:sz w:val="17"/>
              </w:rPr>
              <w:t>Coleman Oil &amp; Gas, Inc.</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Gathering Services Agreement</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caps/>
                <w:sz w:val="17"/>
              </w:rPr>
            </w:pPr>
            <w:r>
              <w:rPr>
                <w:caps/>
                <w:sz w:val="17"/>
              </w:rPr>
              <w:t>Enron Midstream Services, L.L.C.</w:t>
            </w:r>
          </w:p>
        </w:tc>
        <w:tc>
          <w:tcPr>
            <w:tcW w:w="81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2/1/00</w:t>
            </w:r>
          </w:p>
        </w:tc>
        <w:tc>
          <w:tcPr>
            <w:tcW w:w="243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Ten years from the effective date (2/1/00)and year to year thereafter with 90 days notice</w:t>
            </w:r>
          </w:p>
        </w:tc>
        <w:tc>
          <w:tcPr>
            <w:tcW w:w="252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Silent as to Gatherer (EMS).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Silent</w:t>
            </w:r>
          </w:p>
        </w:tc>
        <w:tc>
          <w:tcPr>
            <w:tcW w:w="2340"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Parties will not disclose any provision to any 3</w:t>
            </w:r>
            <w:r>
              <w:rPr>
                <w:caps/>
                <w:sz w:val="17"/>
                <w:vertAlign w:val="superscript"/>
              </w:rPr>
              <w:t>rd</w:t>
            </w:r>
            <w:r>
              <w:rPr>
                <w:caps/>
                <w:sz w:val="17"/>
              </w:rPr>
              <w:t xml:space="preserve"> Party (other than the Party’s and its affiliates employees, lenders, counsel, accountants or prospective purchasers of any rights hereunder who have agreed to keep such terms confidential.  No mention of Notice of Contract.</w:t>
            </w:r>
          </w:p>
        </w:tc>
        <w:tc>
          <w:tcPr>
            <w:tcW w:w="3060" w:type="dxa"/>
            <w:tcBorders>
              <w:top w:val="single" w:sz="6" w:space="0" w:color="000000"/>
              <w:start w:val="single" w:sz="6" w:space="0" w:color="000000"/>
              <w:bottom w:val="single" w:sz="6" w:space="0" w:color="000000"/>
              <w:end w:val="single" w:sz="6" w:space="0" w:color="000000"/>
            </w:tcBorders>
          </w:tcPr>
          <w:p>
            <w:pPr>
              <w:pStyle w:val="Normal"/>
              <w:rPr>
                <w:caps/>
                <w:sz w:val="16"/>
              </w:rPr>
            </w:pPr>
            <w:r>
              <w:rPr>
                <w:caps/>
                <w:sz w:val="16"/>
              </w:rPr>
              <w:t>The gathering fee shall be the aggregate of (a) $0.49/Mcf for owner’s quantity of gas measured at the measurement points less the quantity of fuel and shrinkage, plus (b) actual fuel and shrinkage not to exceed 7%, except for the quantity of owner’s gas measured at the Bear Paw/fort union interconnect.  The gathering fee at the bear paw/fort union interconnect shall be the aggregate of (a) $0.145/Mcf for owner’s quantity of gas measured at the measurement points less the quantity of fuel and shrinkage not to exceed 1%  plus (b) actual fuel and shrinkage not to exceed 1%.</w:t>
            </w:r>
          </w:p>
        </w:tc>
      </w:tr>
      <w:tr>
        <w:trPr/>
        <w:tc>
          <w:tcPr>
            <w:tcW w:w="408" w:type="dxa"/>
            <w:tcBorders>
              <w:top w:val="single" w:sz="6" w:space="0" w:color="000000"/>
              <w:start w:val="single" w:sz="12" w:space="0" w:color="000000"/>
              <w:bottom w:val="single" w:sz="6" w:space="0" w:color="000000"/>
              <w:end w:val="single" w:sz="6" w:space="0" w:color="000000"/>
            </w:tcBorders>
          </w:tcPr>
          <w:p>
            <w:pPr>
              <w:pStyle w:val="Normal"/>
              <w:rPr>
                <w:caps/>
                <w:sz w:val="17"/>
              </w:rPr>
            </w:pPr>
            <w:r>
              <w:rPr>
                <w:caps/>
                <w:sz w:val="17"/>
              </w:rPr>
              <w:t>8.</w:t>
            </w:r>
          </w:p>
        </w:tc>
        <w:tc>
          <w:tcPr>
            <w:tcW w:w="1662" w:type="dxa"/>
            <w:tcBorders>
              <w:top w:val="single" w:sz="6" w:space="0" w:color="000000"/>
              <w:start w:val="single" w:sz="6" w:space="0" w:color="000000"/>
              <w:bottom w:val="single" w:sz="6" w:space="0" w:color="000000"/>
              <w:end w:val="single" w:sz="6" w:space="0" w:color="000000"/>
            </w:tcBorders>
          </w:tcPr>
          <w:p>
            <w:pPr>
              <w:pStyle w:val="Normal"/>
              <w:rPr/>
            </w:pPr>
            <w:r>
              <w:rPr>
                <w:rStyle w:val="CommentReference"/>
                <w:sz w:val="17"/>
              </w:rPr>
              <w:t>MTG Operating Company and Michael T. Guthrie</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Gathering Services Agreement</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caps/>
                <w:sz w:val="17"/>
              </w:rPr>
            </w:pPr>
            <w:r>
              <w:rPr>
                <w:caps/>
                <w:sz w:val="17"/>
              </w:rPr>
              <w:t>Enron Midstream Services, L.L.C.</w:t>
            </w:r>
          </w:p>
        </w:tc>
        <w:tc>
          <w:tcPr>
            <w:tcW w:w="81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10/22/99</w:t>
            </w:r>
          </w:p>
        </w:tc>
        <w:tc>
          <w:tcPr>
            <w:tcW w:w="243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10 years from WIC In-Service Date (12/1/99) and year to year thereafter with 30 days notice</w:t>
            </w:r>
          </w:p>
        </w:tc>
        <w:tc>
          <w:tcPr>
            <w:tcW w:w="252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Silent as to Provider (EMS)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Silent</w:t>
            </w:r>
          </w:p>
        </w:tc>
        <w:tc>
          <w:tcPr>
            <w:tcW w:w="2340"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Parties will not disclose any provision to any 3</w:t>
            </w:r>
            <w:r>
              <w:rPr>
                <w:caps/>
                <w:sz w:val="17"/>
                <w:vertAlign w:val="superscript"/>
              </w:rPr>
              <w:t>rd</w:t>
            </w:r>
            <w:r>
              <w:rPr>
                <w:caps/>
                <w:sz w:val="17"/>
              </w:rPr>
              <w:t xml:space="preserve"> Party (other than the Party’s and its affiliates employees, lenders, counsel, accountants or prospective purchasers of any rights hereunder who have agreed to keep such terms confidential.  No mention of Notice of Contract.</w:t>
            </w:r>
          </w:p>
        </w:tc>
        <w:tc>
          <w:tcPr>
            <w:tcW w:w="306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The gathering fee for 0wners gas measured at the receipt points multiplied by $0.05/mcf plus the Fort Union Gathering fee.</w:t>
            </w:r>
          </w:p>
        </w:tc>
      </w:tr>
      <w:tr>
        <w:trPr/>
        <w:tc>
          <w:tcPr>
            <w:tcW w:w="408" w:type="dxa"/>
            <w:tcBorders>
              <w:top w:val="single" w:sz="6" w:space="0" w:color="000000"/>
              <w:start w:val="single" w:sz="12" w:space="0" w:color="000000"/>
              <w:bottom w:val="single" w:sz="6" w:space="0" w:color="000000"/>
              <w:end w:val="single" w:sz="6" w:space="0" w:color="000000"/>
            </w:tcBorders>
          </w:tcPr>
          <w:p>
            <w:pPr>
              <w:pStyle w:val="Normal"/>
              <w:rPr>
                <w:caps/>
                <w:sz w:val="17"/>
              </w:rPr>
            </w:pPr>
            <w:r>
              <w:rPr>
                <w:caps/>
                <w:sz w:val="17"/>
              </w:rPr>
              <w:t>9.</w:t>
            </w:r>
          </w:p>
        </w:tc>
        <w:tc>
          <w:tcPr>
            <w:tcW w:w="1662" w:type="dxa"/>
            <w:tcBorders>
              <w:top w:val="single" w:sz="6" w:space="0" w:color="000000"/>
              <w:start w:val="single" w:sz="6" w:space="0" w:color="000000"/>
              <w:bottom w:val="single" w:sz="6" w:space="0" w:color="000000"/>
              <w:end w:val="single" w:sz="6" w:space="0" w:color="000000"/>
            </w:tcBorders>
          </w:tcPr>
          <w:p>
            <w:pPr>
              <w:pStyle w:val="Normal"/>
              <w:rPr/>
            </w:pPr>
            <w:r>
              <w:rPr>
                <w:rStyle w:val="CommentReference"/>
                <w:sz w:val="17"/>
              </w:rPr>
              <w:t>Yates Petroleum Corporation</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Gathering Services Agreement</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caps/>
                <w:sz w:val="17"/>
              </w:rPr>
            </w:pPr>
            <w:r>
              <w:rPr>
                <w:caps/>
                <w:sz w:val="17"/>
              </w:rPr>
              <w:t>Enron Midstream Services, L.L.C.</w:t>
            </w:r>
          </w:p>
        </w:tc>
        <w:tc>
          <w:tcPr>
            <w:tcW w:w="81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12/1/99</w:t>
            </w:r>
          </w:p>
        </w:tc>
        <w:tc>
          <w:tcPr>
            <w:tcW w:w="243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10 years from WIC In-Service Date (12-1-99) and year to year thereafter with 90 days notice</w:t>
            </w:r>
          </w:p>
        </w:tc>
        <w:tc>
          <w:tcPr>
            <w:tcW w:w="252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Either Party cannot assign without prior written Notice except to a parent or affiliate and subject to agreement and assignment sent within 30 days.</w:t>
            </w:r>
          </w:p>
        </w:tc>
        <w:tc>
          <w:tcPr>
            <w:tcW w:w="198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Silent</w:t>
            </w:r>
          </w:p>
        </w:tc>
        <w:tc>
          <w:tcPr>
            <w:tcW w:w="2340"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Parties will not disclose any provision to any 3</w:t>
            </w:r>
            <w:r>
              <w:rPr>
                <w:caps/>
                <w:sz w:val="17"/>
                <w:vertAlign w:val="superscript"/>
              </w:rPr>
              <w:t>rd</w:t>
            </w:r>
            <w:r>
              <w:rPr>
                <w:caps/>
                <w:sz w:val="17"/>
              </w:rPr>
              <w:t xml:space="preserve"> Party (other than the Party’s and its affiliates employees, lenders, counsel, accountants or prospective purchasers of any rights hereunder who have agreed to keep such terms confidential.  No mention of Notice of Contract.</w:t>
            </w:r>
          </w:p>
        </w:tc>
        <w:tc>
          <w:tcPr>
            <w:tcW w:w="306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 xml:space="preserve">The gathering fee shall be $0.28/mcf, plus actual fuel and shrinkage not to exceed 7%, of owner’s quantity of gas as measured at the measurement Points.  </w:t>
            </w:r>
          </w:p>
        </w:tc>
      </w:tr>
      <w:tr>
        <w:trPr/>
        <w:tc>
          <w:tcPr>
            <w:tcW w:w="408" w:type="dxa"/>
            <w:tcBorders>
              <w:top w:val="single" w:sz="6" w:space="0" w:color="000000"/>
              <w:start w:val="single" w:sz="12" w:space="0" w:color="000000"/>
              <w:bottom w:val="single" w:sz="6" w:space="0" w:color="000000"/>
              <w:end w:val="single" w:sz="6" w:space="0" w:color="000000"/>
            </w:tcBorders>
          </w:tcPr>
          <w:p>
            <w:pPr>
              <w:pStyle w:val="Normal"/>
              <w:rPr>
                <w:caps/>
                <w:sz w:val="17"/>
              </w:rPr>
            </w:pPr>
            <w:r>
              <w:rPr>
                <w:caps/>
                <w:sz w:val="17"/>
              </w:rPr>
              <w:t>10.</w:t>
            </w:r>
          </w:p>
        </w:tc>
        <w:tc>
          <w:tcPr>
            <w:tcW w:w="1662" w:type="dxa"/>
            <w:tcBorders>
              <w:top w:val="single" w:sz="6" w:space="0" w:color="000000"/>
              <w:start w:val="single" w:sz="6" w:space="0" w:color="000000"/>
              <w:bottom w:val="single" w:sz="6" w:space="0" w:color="000000"/>
              <w:end w:val="single" w:sz="6" w:space="0" w:color="000000"/>
            </w:tcBorders>
          </w:tcPr>
          <w:p>
            <w:pPr>
              <w:pStyle w:val="Normal"/>
              <w:rPr/>
            </w:pPr>
            <w:r>
              <w:rPr>
                <w:rStyle w:val="CommentReference"/>
                <w:sz w:val="17"/>
              </w:rPr>
              <w:t>Quantum Energy, L.L.C. and Enernet of Wyoming, L.L.C.</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Gathering Services Agreement</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caps/>
                <w:sz w:val="17"/>
              </w:rPr>
            </w:pPr>
            <w:r>
              <w:rPr>
                <w:caps/>
                <w:sz w:val="17"/>
              </w:rPr>
              <w:t>Enron Midstream Services, L.L.C.</w:t>
            </w:r>
          </w:p>
        </w:tc>
        <w:tc>
          <w:tcPr>
            <w:tcW w:w="81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3/1/2000</w:t>
            </w:r>
          </w:p>
        </w:tc>
        <w:tc>
          <w:tcPr>
            <w:tcW w:w="243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Ten years from the effective date (3/1/00) and year to year thereafter with 90 days notice</w:t>
            </w:r>
          </w:p>
        </w:tc>
        <w:tc>
          <w:tcPr>
            <w:tcW w:w="252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Silent as to Gatherer (EMS).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Silent</w:t>
            </w:r>
          </w:p>
        </w:tc>
        <w:tc>
          <w:tcPr>
            <w:tcW w:w="2340"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Parties will not disclose any provision to any 3</w:t>
            </w:r>
            <w:r>
              <w:rPr>
                <w:caps/>
                <w:sz w:val="17"/>
                <w:vertAlign w:val="superscript"/>
              </w:rPr>
              <w:t>rd</w:t>
            </w:r>
            <w:r>
              <w:rPr>
                <w:caps/>
                <w:sz w:val="17"/>
              </w:rPr>
              <w:t xml:space="preserve"> Party (other than the Party’s and its affiliates employees, lenders, counsel, accountants or prospective purchasers of any rights hereunder who have agreed to keep such terms confidential.  No mention of Notice of Contract.</w:t>
            </w:r>
          </w:p>
        </w:tc>
        <w:tc>
          <w:tcPr>
            <w:tcW w:w="3060" w:type="dxa"/>
            <w:tcBorders>
              <w:top w:val="single" w:sz="6" w:space="0" w:color="000000"/>
              <w:start w:val="single" w:sz="6" w:space="0" w:color="000000"/>
              <w:bottom w:val="single" w:sz="6" w:space="0" w:color="000000"/>
              <w:end w:val="single" w:sz="6" w:space="0" w:color="000000"/>
            </w:tcBorders>
          </w:tcPr>
          <w:p>
            <w:pPr>
              <w:pStyle w:val="Normal"/>
              <w:rPr>
                <w:caps/>
                <w:sz w:val="14"/>
              </w:rPr>
            </w:pPr>
            <w:r>
              <w:rPr>
                <w:caps/>
                <w:sz w:val="14"/>
              </w:rPr>
              <w:t>the gathering fee shall be the sum of the following: (a) $0.42/mcf plus actual fuel and shrinkage for gas measured at the measurement points, plus (b) $0.145/mcf, plus actual fuel and shrinkage for gas determined at the post compression measurement points.  if the total cumulative volume of gas produced from any owner owned acreage is less than 4.25 BCF as of March 31, 2002, then from and after 4/1/2002 the fee shall be the sum of the following: (a) $0.44/mcf plus actual fuel and shrinkage for gas measured at the measurement points, plus (b) $0.165/mcf, plus actual fuel and shrinkage for gas determined at the post compression measurement points. at such time as the cumulative production exceeds (i) either 2.5 bcf on or before 12/31/2000 or 7 bcf on 12/31/2001 the fee shall be the sum of the following: (a) $0.395/mcf plus actual fuel and shrinkage for gas measured at the measurement points, plus (b) $0.14/mcf, plus actual fuel and shrinkage for gas determined at the post compression measurement points, (ii). 10 bcf on or before 12/31/2002 the fee shall be the sum of the following: (a) $0.365/mcf plus actual fuel and shrinkage for gas measured at the measurement points, plus (b) $0.14/mcf, plus actual fuel and shrinkage for gas determined at the post compression measurement points, AND (iii) 13 bcf on or before 12/31/2003 the fee shall be the sum of the following: (a) $0.34/mcf plus actual fuel and shrinkage for gas measured at the measurement points, plus (b) $0.14/mcf, plus actual fuel and shrinkage for gas determined at the post compression measurement points  in addition the owner shall pay a collection facilities fee of $30,000/month.  The collection fee shall terminate upon receipt by provider of SUFFICIENT COLLECTION facilities fee which shall result in a return of a 20% rate of retrun on the funded amount.</w:t>
            </w:r>
          </w:p>
        </w:tc>
      </w:tr>
    </w:tbl>
    <w:p>
      <w:pPr>
        <w:pStyle w:val="Normal"/>
        <w:rPr>
          <w:sz w:val="17"/>
        </w:rPr>
      </w:pPr>
      <w:r>
        <w:rPr>
          <w:sz w:val="17"/>
        </w:rPr>
      </w:r>
      <w:r>
        <w:br w:type="page"/>
      </w:r>
    </w:p>
    <w:p>
      <w:pPr>
        <w:pStyle w:val="Normal"/>
        <w:rPr>
          <w:sz w:val="17"/>
        </w:rPr>
      </w:pPr>
      <w:r>
        <w:rPr>
          <w:sz w:val="17"/>
        </w:rPr>
      </w:r>
    </w:p>
    <w:sectPr>
      <w:headerReference w:type="default" r:id="rId2"/>
      <w:headerReference w:type="first" r:id="rId3"/>
      <w:footerReference w:type="default" r:id="rId4"/>
      <w:footerReference w:type="first" r:id="rId5"/>
      <w:type w:val="nextPage"/>
      <w:pgSz w:orient="landscape" w:w="20160" w:h="12240"/>
      <w:pgMar w:left="720" w:right="72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6920" w:leader="none"/>
      </w:tabs>
      <w:rPr/>
    </w:pPr>
    <w:r>
      <w:rPr>
        <w:sz w:val="14"/>
      </w:rPr>
      <w:t>COMMON\LEGAL\BWALKER\</w:t>
    </w:r>
    <w:r>
      <w:rPr>
        <w:sz w:val="14"/>
      </w:rPr>
      <w:fldChar w:fldCharType="begin"/>
    </w:r>
    <w:r>
      <w:rPr>
        <w:sz w:val="14"/>
      </w:rPr>
      <w:instrText xml:space="preserve"> FILENAME </w:instrText>
    </w:r>
    <w:r>
      <w:rPr>
        <w:sz w:val="14"/>
      </w:rPr>
      <w:fldChar w:fldCharType="separate"/>
    </w:r>
    <w:r>
      <w:rPr>
        <w:sz w:val="14"/>
      </w:rPr>
      <w:t>GatheringReview.doc</w:t>
    </w:r>
    <w:r>
      <w:rPr>
        <w:sz w:val="14"/>
      </w:rPr>
      <w:fldChar w:fldCharType="end"/>
    </w:r>
    <w:r>
      <w:rPr>
        <w:sz w:val="14"/>
      </w:rPr>
      <w:tab/>
    </w:r>
    <w:r>
      <w:rPr>
        <w:sz w:val="14"/>
      </w:rPr>
      <w:fldChar w:fldCharType="begin"/>
    </w:r>
    <w:r>
      <w:rPr>
        <w:sz w:val="14"/>
      </w:rPr>
      <w:instrText xml:space="preserve"> DATE \@"M/d/yyyy" </w:instrText>
    </w:r>
    <w:r>
      <w:rPr>
        <w:sz w:val="14"/>
      </w:rPr>
      <w:fldChar w:fldCharType="separate"/>
    </w:r>
    <w:r>
      <w:rPr>
        <w:sz w:val="14"/>
      </w:rPr>
      <w:t>9/28/2025</w:t>
    </w:r>
    <w:r>
      <w:rPr>
        <w:sz w:val="14"/>
      </w:rPr>
      <w:fldChar w:fldCharType="end"/>
    </w:r>
    <w:r>
      <w:rPr>
        <w:sz w:val="14"/>
      </w:rPr>
      <w:tab/>
      <w:t xml:space="preserve">Page </w:t>
    </w:r>
    <w:r>
      <w:rPr>
        <w:sz w:val="14"/>
      </w:rPr>
      <w:fldChar w:fldCharType="begin"/>
    </w:r>
    <w:r>
      <w:rPr>
        <w:sz w:val="14"/>
      </w:rPr>
      <w:instrText xml:space="preserve"> PAGE </w:instrText>
    </w:r>
    <w:r>
      <w:rPr>
        <w:sz w:val="14"/>
      </w:rPr>
      <w:fldChar w:fldCharType="separate"/>
    </w:r>
    <w:r>
      <w:rPr>
        <w:sz w:val="14"/>
      </w:rPr>
      <w:t>7</w:t>
    </w:r>
    <w:r>
      <w:rPr>
        <w:sz w:val="14"/>
      </w:rPr>
      <w:fldChar w:fldCharType="end"/>
    </w:r>
    <w:r>
      <w:rPr>
        <w:sz w:val="14"/>
      </w:rPr>
      <w:t xml:space="preserve"> of </w:t>
    </w:r>
    <w:r>
      <w:rPr>
        <w:sz w:val="14"/>
      </w:rPr>
      <w:fldChar w:fldCharType="begin"/>
    </w:r>
    <w:r>
      <w:rPr>
        <w:sz w:val="14"/>
      </w:rPr>
      <w:instrText xml:space="preserve"> NUMPAGES \* ARABIC </w:instrText>
    </w:r>
    <w:r>
      <w:rPr>
        <w:sz w:val="14"/>
      </w:rPr>
      <w:fldChar w:fldCharType="separate"/>
    </w:r>
    <w:r>
      <w:rPr>
        <w:sz w:val="14"/>
      </w:rPr>
      <w:t>7</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520" w:leader="none"/>
      </w:tabs>
      <w:jc w:val="center"/>
      <w:rPr>
        <w:rFonts w:ascii="Arial" w:hAnsi="Arial" w:cs="Arial"/>
        <w:caps/>
        <w:sz w:val="12"/>
      </w:rPr>
    </w:pPr>
    <w:r>
      <w:rPr>
        <w:rFonts w:cs="Arial" w:ascii="Arial" w:hAnsi="Arial"/>
        <w:b/>
        <w:caps/>
        <w:sz w:val="12"/>
      </w:rPr>
      <w:t>Gas Gathering Agreements</w:t>
    </w:r>
  </w:p>
  <w:p>
    <w:pPr>
      <w:pStyle w:val="Header"/>
      <w:jc w:val="center"/>
      <w:rPr>
        <w:rFonts w:ascii="Arial" w:hAnsi="Arial" w:cs="Arial"/>
        <w:caps/>
        <w:sz w:val="12"/>
      </w:rPr>
    </w:pPr>
    <w:r>
      <w:rPr>
        <w:rFonts w:cs="Arial" w:ascii="Arial" w:hAnsi="Arial"/>
        <w:caps/>
        <w:sz w:val="1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BodyText"/>
    <w:qFormat/>
    <w:pPr>
      <w:numPr>
        <w:ilvl w:val="4"/>
        <w:numId w:val="1"/>
      </w:numPr>
      <w:spacing w:before="0" w:after="240"/>
      <w:outlineLvl w:val="4"/>
    </w:pPr>
    <w:rPr>
      <w:spacing w:val="10"/>
      <w:szCs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BodyText"/>
    <w:qFormat/>
    <w:pPr>
      <w:numPr>
        <w:ilvl w:val="7"/>
        <w:numId w:val="1"/>
      </w:numPr>
      <w:spacing w:before="0" w:after="240"/>
      <w:outlineLvl w:val="7"/>
    </w:pPr>
    <w:rPr>
      <w:spacing w:val="10"/>
      <w:szCs w:val="20"/>
    </w:rPr>
  </w:style>
  <w:style w:type="paragraph" w:styleId="Heading9">
    <w:name w:val="heading 9"/>
    <w:basedOn w:val="Normal"/>
    <w:next w:val="BodyText"/>
    <w:qFormat/>
    <w:pPr>
      <w:numPr>
        <w:ilvl w:val="8"/>
        <w:numId w:val="1"/>
      </w:numPr>
      <w:spacing w:before="0" w:after="240"/>
      <w:outlineLvl w:val="8"/>
    </w:pPr>
    <w:rPr>
      <w:spacing w:val="10"/>
      <w:szCs w:val="20"/>
    </w:rPr>
  </w:style>
  <w:style w:type="character" w:styleId="WW8Num1z5">
    <w:name w:val="WW8Num1z5"/>
    <w:qFormat/>
    <w:rPr>
      <w:strike w:val="false"/>
      <w:dstrike w:val="fals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spacing w:before="0" w:after="240"/>
      <w:jc w:val="center"/>
    </w:pPr>
    <w:rPr>
      <w:b/>
      <w:caps/>
      <w:spacing w:val="60"/>
    </w:rPr>
  </w:style>
  <w:style w:type="paragraph" w:styleId="FootnoteText">
    <w:name w:val="footnote text"/>
    <w:basedOn w:val="Normal"/>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CommentText">
    <w:name w:val="Comment Text"/>
    <w:basedOn w:val="Normal"/>
    <w:qFormat/>
    <w:pPr/>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val="false"/>
      <w:bidi w:val="0"/>
    </w:pPr>
    <w:rPr>
      <w:rFonts w:ascii="CG Times (WN)" w:hAnsi="CG Times (WN)" w:eastAsia="Times New Roman" w:cs="CG Times (WN)"/>
      <w:color w:val="auto"/>
      <w:sz w:val="20"/>
      <w:szCs w:val="20"/>
      <w:lang w:val="en-US" w:bidi="ar-SA" w:eastAsia="zh-CN"/>
    </w:rPr>
  </w:style>
  <w:style w:type="paragraph" w:styleId="f">
    <w:name w:val="f"/>
    <w:qFormat/>
    <w:pPr>
      <w:widowControl w:val="false"/>
      <w:bidi w:val="0"/>
    </w:pPr>
    <w:rPr>
      <w:rFonts w:ascii="CG Times (WN)" w:hAnsi="CG Times (WN)" w:eastAsia="Times New Roman" w:cs="CG Times (WN)"/>
      <w:color w:val="auto"/>
      <w:sz w:val="20"/>
      <w:szCs w:val="20"/>
      <w:lang w:val="en-US" w:bidi="ar-SA" w:eastAsia="zh-CN"/>
    </w:rPr>
  </w:style>
  <w:style w:type="paragraph" w:styleId="para">
    <w:name w:val="para"/>
    <w:qFormat/>
    <w:pPr>
      <w:widowControl w:val="false"/>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val="false"/>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3"/>
      </w:numPr>
      <w:ind w:hanging="360" w:start="360" w:end="0"/>
    </w:pPr>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left" w:pos="720" w:leader="none"/>
        <w:tab w:val="left" w:pos="1440" w:leader="none"/>
      </w:tabs>
      <w:ind w:hanging="720" w:start="1440" w:end="0"/>
      <w:jc w:val="both"/>
    </w:pPr>
    <w:rPr>
      <w:szCs w:val="20"/>
    </w:rPr>
  </w:style>
  <w:style w:type="paragraph" w:styleId="BodyTextIndent3">
    <w:name w:val="Body Text Indent 3"/>
    <w:basedOn w:val="Normal"/>
    <w:qFormat/>
    <w:pPr>
      <w:ind w:hanging="720" w:start="2880" w:end="0"/>
      <w:jc w:val="both"/>
    </w:pPr>
    <w:rPr>
      <w:sz w:val="20"/>
      <w:szCs w:val="20"/>
    </w:rPr>
  </w:style>
  <w:style w:type="paragraph" w:styleId="BodyTextIndent">
    <w:name w:val="Body Text Indent"/>
    <w:basedOn w:val="Normal"/>
    <w:pPr>
      <w:ind w:hanging="720" w:start="2160" w:end="0"/>
      <w:jc w:val="both"/>
    </w:pPr>
    <w:rPr>
      <w:spacing w:val="10"/>
      <w:szCs w:val="20"/>
    </w:rPr>
  </w:style>
  <w:style w:type="paragraph" w:styleId="BodyText2">
    <w:name w:val="Body Text 2"/>
    <w:basedOn w:val="Normal"/>
    <w:qFormat/>
    <w:pPr>
      <w:jc w:val="both"/>
    </w:pPr>
    <w:rPr>
      <w:sz w:val="1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2000-06-26T19:02:00Z</dcterms:created>
  <dc:creator>tbarth</dc:creator>
  <dc:description/>
  <dc:language>en-CA</dc:language>
  <cp:lastModifiedBy>rwalker</cp:lastModifiedBy>
  <cp:lastPrinted>2000-09-25T16:48:00Z</cp:lastPrinted>
  <dcterms:modified xsi:type="dcterms:W3CDTF">2000-09-25T19:19:00Z</dcterms:modified>
  <cp:revision>18</cp:revision>
  <dc:subject/>
  <dc:title>HPL Contract list</dc:title>
</cp:coreProperties>
</file>