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Heading2"/>
        <w:numPr>
          <w:ilvl w:val="0"/>
          <w:numId w:val="0"/>
        </w:numPr>
        <w:ind w:hanging="0" w:start="0"/>
        <w:jc w:val="center"/>
        <w:rPr>
          <w:b/>
          <w:bCs/>
          <w:i/>
          <w:i/>
          <w:iCs/>
          <w:sz w:val="32"/>
        </w:rPr>
      </w:pPr>
      <w:r>
        <w:rPr>
          <w:b/>
          <w:bCs/>
          <w:i/>
          <w:iCs/>
          <w:sz w:val="32"/>
        </w:rPr>
        <w:t>DRAFT 6/21/01</w:t>
      </w:r>
    </w:p>
    <w:p>
      <w:pPr>
        <w:pStyle w:val="Heading2"/>
        <w:numPr>
          <w:ilvl w:val="0"/>
          <w:numId w:val="0"/>
        </w:numPr>
        <w:ind w:firstLine="720" w:start="0" w:end="0"/>
        <w:rPr>
          <w:b/>
          <w:bCs/>
          <w:i/>
          <w:i/>
          <w:iCs/>
          <w:sz w:val="32"/>
        </w:rPr>
      </w:pPr>
      <w:r>
        <w:rPr>
          <w:b/>
          <w:bCs/>
          <w:i/>
          <w:iCs/>
          <w:sz w:val="32"/>
        </w:rPr>
      </w:r>
    </w:p>
    <w:p>
      <w:pPr>
        <w:pStyle w:val="Heading2"/>
        <w:numPr>
          <w:ilvl w:val="0"/>
          <w:numId w:val="0"/>
        </w:numPr>
        <w:ind w:firstLine="720" w:start="0" w:end="0"/>
        <w:rPr/>
      </w:pPr>
      <w:r>
        <w:rPr/>
      </w:r>
    </w:p>
    <w:p>
      <w:pPr>
        <w:pStyle w:val="MimicLev1"/>
        <w:keepNext w:val="false"/>
        <w:spacing w:before="0" w:after="0"/>
        <w:rPr/>
      </w:pPr>
      <w:r>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CRESCENDO ENERGY,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MimicLev1"/>
        <w:keepNext w:val="false"/>
        <w:spacing w:before="0" w:after="0"/>
        <w:rPr>
          <w:caps w:val="false"/>
          <w:smallCaps w:val="false"/>
        </w:rPr>
      </w:pPr>
      <w:r>
        <w:rPr>
          <w:caps w:val="false"/>
          <w:smallCaps w:val="false"/>
        </w:rPr>
        <w:t>____________________________</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is entered into and made this ___ Day of _________, 2001 (the “Effective Date”), by and between ________________, a ___________ corporation ("</w:t>
      </w:r>
      <w:r>
        <w:rPr>
          <w:sz w:val="20"/>
          <w:u w:val="single"/>
        </w:rPr>
        <w:t>Owner</w:t>
      </w:r>
      <w:r>
        <w:rPr>
          <w:sz w:val="20"/>
        </w:rPr>
        <w:t>"), and</w:t>
      </w:r>
      <w:r>
        <w:rPr>
          <w:b/>
          <w:bCs/>
          <w:sz w:val="20"/>
        </w:rPr>
        <w:t xml:space="preserve"> Crescendo Energy, LLC</w:t>
      </w:r>
      <w:r>
        <w:rPr>
          <w:sz w:val="20"/>
        </w:rPr>
        <w:t xml:space="preserve">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produced from Owner's interest in the Reserves in and under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or has the contractual right to produce and deliver all gas delivered to Gatherer hereunder.  Owner hereby represents that except as provided in </w:t>
      </w:r>
      <w:r>
        <w:rPr>
          <w:sz w:val="20"/>
          <w:u w:val="single"/>
        </w:rPr>
        <w:t>Exhibit A</w:t>
      </w:r>
      <w:r>
        <w:rPr>
          <w:sz w:val="20"/>
        </w:rPr>
        <w:t>, Owner’s Reserves are not otherwise subject to any gathering, transportation, purchase and sale or other agreement that would affect the commitment described hereunder in Section 1.2.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sz w:val="20"/>
        </w:rPr>
      </w:pPr>
      <w:r>
        <w:rPr>
          <w:sz w:val="20"/>
        </w:rPr>
        <w:t xml:space="preserve"> </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Reserves, in and under the Reserve Commitment Area.  Owner agrees not to deliver to any third party any Gas produced from Owner’s Reserves unless that Gas has been gathered under this Agreement.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pool, communitize or unitize Owner's Reserves, in which event this Agreement shall cover Owner's interests therein.</w:t>
      </w:r>
    </w:p>
    <w:p>
      <w:pPr>
        <w:pStyle w:val="Heading3"/>
        <w:numPr>
          <w:ilvl w:val="2"/>
          <w:numId w:val="2"/>
        </w:numPr>
        <w:rPr>
          <w:sz w:val="20"/>
        </w:rPr>
      </w:pPr>
      <w:r>
        <w:rPr>
          <w:sz w:val="20"/>
        </w:rPr>
        <w:t>to take such other actions, and exercise such other rights and perform such other obligations as may be necessary to comply with the terms of any lease relating to Owner's interests in the Reserve Commitment Area.</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  Maximum volumes that may be redelivered to any Delivery Point shall be as set forth on </w:t>
      </w:r>
      <w:r>
        <w:rPr>
          <w:sz w:val="20"/>
          <w:u w:val="single"/>
        </w:rPr>
        <w:t>Exhibit D.</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unless otherwise terminated in accordance with the terms of this Agreement, shall remain in effect for a period of ________ Years from the Effective Date (the "</w:t>
      </w:r>
      <w:r>
        <w:rPr>
          <w:sz w:val="20"/>
          <w:u w:val="single"/>
        </w:rPr>
        <w:t>Primary Term</w:t>
      </w:r>
      <w:r>
        <w:rPr>
          <w:sz w:val="20"/>
        </w:rPr>
        <w:t xml:space="preserve">"), and thereafter continue in effect from Year to Year, unless terminated by either Party upon written notice to the other Party given ninety (90) Days prior to the end of the Primary Term or any Year thereafter.  All indemnity, confidentiality obligations, and audit rights shall survive the termination or expiration hereof.  </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r>
      <w:r>
        <w:rPr>
          <w:rFonts w:cs="Times New Roman Bold;Times New Roman" w:ascii="Times New Roman Bold;Times New Roman" w:hAnsi="Times New Roman Bold;Times New Roman"/>
          <w:sz w:val="20"/>
        </w:rPr>
        <w:t>Gathering</w:t>
      </w:r>
      <w:r>
        <w:rPr>
          <w:sz w:val="20"/>
        </w:rPr>
        <w:t xml:space="preserve"> Charge and Payment</w:t>
      </w:r>
    </w:p>
    <w:p>
      <w:pPr>
        <w:pStyle w:val="Heading2"/>
        <w:numPr>
          <w:ilvl w:val="0"/>
          <w:numId w:val="0"/>
        </w:numPr>
        <w:ind w:firstLine="720" w:start="0" w:end="0"/>
        <w:rPr/>
      </w:pPr>
      <w:r>
        <w:rPr>
          <w:sz w:val="20"/>
        </w:rPr>
        <w:t>Section 4.1</w:t>
        <w:tab/>
      </w:r>
      <w:r>
        <w:rPr>
          <w:b/>
          <w:sz w:val="20"/>
          <w:u w:val="single"/>
        </w:rPr>
        <w:t>Gathering Fee</w:t>
      </w:r>
      <w:r>
        <w:rPr>
          <w:b/>
          <w:sz w:val="20"/>
        </w:rPr>
        <w:t xml:space="preserve">.  </w:t>
      </w:r>
      <w:r>
        <w:rPr>
          <w:sz w:val="20"/>
        </w:rPr>
        <w:t>The gathering fee ("</w:t>
      </w:r>
      <w:r>
        <w:rPr>
          <w:sz w:val="20"/>
          <w:u w:val="single"/>
        </w:rPr>
        <w:t>Gathering Fee</w:t>
      </w:r>
      <w:r>
        <w:rPr>
          <w:sz w:val="20"/>
        </w:rPr>
        <w:t xml:space="preserve">") for Gathering Services shall be the aggregate of (a) $____ per Mcf for Owner’s quantity of gas measured at the Receipt Point(s) plus (b) actual fuel and shrinkage for Owner's quantity of gas as measured at the Receipt Point(s). </w:t>
      </w:r>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 Services rendered hereunder for a period of thirty (30) Days, then upon fifteen (15) Days written notice, Gatherer may at its election suspend Gathering Services unless Owner pays the amount in default within the aforesaid fifteen-Day notice period.  If Owner has not paid the amount in default within fifteen (15) Days of the end of the notice period, then Gatherer may at its election terminate this Agreement.  Any termination of this Agreement pursuant to the provisions of this Section 4.2 shall be without waiver of or prejudice to any remedy to which Gatherer may be entitled pursuant to this Agreement.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color w:val="000000"/>
          <w:sz w:val="20"/>
        </w:rPr>
      </w:pPr>
      <w:r>
        <w:rPr>
          <w:rFonts w:cs="Times New Roman" w:ascii="Times New Roman" w:hAnsi="Times New Roman"/>
          <w:b/>
          <w:color w:val="000000"/>
          <w:sz w:val="20"/>
        </w:rPr>
        <w:t>ARTICLE V</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Fonts w:cs="Times New Roman" w:ascii="Times New Roman" w:hAnsi="Times New Roman"/>
          <w:b/>
          <w:color w:val="000000"/>
          <w:sz w:val="20"/>
        </w:rPr>
        <w:t>W</w:t>
      </w:r>
      <w:r>
        <w:rPr>
          <w:rFonts w:cs="Times New Roman Bold;Times New Roman" w:ascii="Times New Roman Bold;Times New Roman" w:hAnsi="Times New Roman Bold;Times New Roman"/>
          <w:b/>
          <w:smallCaps/>
          <w:color w:val="000000"/>
          <w:sz w:val="20"/>
        </w:rPr>
        <w:t>arranties, Representations, and Covenants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smallCaps/>
          <w:color w:val="000000"/>
          <w:sz w:val="20"/>
        </w:rPr>
      </w:pPr>
      <w:r>
        <w:rPr>
          <w:rFonts w:cs="Times New Roman" w:ascii="Times New Roman" w:hAnsi="Times New Roman"/>
          <w:b/>
          <w:smallCaps/>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b/>
          <w:color w:val="000000"/>
          <w:sz w:val="20"/>
        </w:rPr>
        <w:tab/>
        <w:t>Section 5.1</w:t>
        <w:tab/>
        <w:t>General Warranties, Representations, and Covenants</w:t>
      </w:r>
      <w:r>
        <w:rPr>
          <w:rFonts w:cs="Times New Roman" w:ascii="Times New Roman" w:hAnsi="Times New Roman"/>
          <w:color w:val="000000"/>
          <w:sz w:val="20"/>
        </w:rPr>
        <w:t>.  In addition to the other warranties, representations, and covenants in this Agreement, each Party, as to itself only, warrants, represents, and covenants that: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tab/>
        <w:t>(a) It is duly organized, validly existing and in good standing under the laws of the jurisdiction of its formation, and it has qualified to do business in and is in good standing in any state where so required in order to perform its obligations hereunder,</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tab/>
        <w:t>(b) It has the right, power, authority, and capacity to enter into and perform this Agreement and all transactions contemplated herein, and all actions required to authorize it to enter into and perform this Agreement have been properly taken.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tab/>
        <w:t>(c) It will not breach any other agreement or arrangement by entering into or performing this Agreement.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tab/>
        <w:t>(d) This Agreement has been duly executed and delivered by it and is valid and binding upon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tab/>
        <w:t>(e) There are no bankruptcy, insolvency, reorganization, receivership or other arrangement proceedings pending or being contemplated by it.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tab/>
        <w:t>(f) There are no suits, proceedings, judgments or orders by or before any governmental authority that affect either its ability to perform this Agreement or the rights of the other Party hereunder.</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tab/>
        <w:t>(g) It will comply with all Laws relevant to the performance of its obligations under this Agreement.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Heading2"/>
        <w:numPr>
          <w:ilvl w:val="0"/>
          <w:numId w:val="0"/>
        </w:numPr>
        <w:ind w:firstLine="720" w:start="0" w:end="0"/>
        <w:rPr>
          <w:rFonts w:ascii="Times New Roman" w:hAnsi="Times New Roman" w:cs="Times New Roman"/>
          <w:color w:val="000000"/>
          <w:sz w:val="20"/>
        </w:rPr>
      </w:pPr>
      <w:r>
        <w:rPr>
          <w:rFonts w:cs="Times New Roman"/>
          <w:color w:val="000000"/>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t>I</w:t>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p>
            <w:pPr>
              <w:pStyle w:val="Normal"/>
              <w:keepNext w:val="true"/>
              <w:spacing w:before="240" w:after="0"/>
              <w:rPr>
                <w:b/>
                <w:smallCaps/>
              </w:rPr>
            </w:pPr>
            <w:r>
              <w:rPr>
                <w:b/>
              </w:rPr>
              <w:t>Notices</w:t>
            </w:r>
            <w:r>
              <w:rPr/>
              <w:t>:</w:t>
            </w:r>
          </w:p>
        </w:tc>
      </w:tr>
      <w:tr>
        <w:trPr/>
        <w:tc>
          <w:tcPr>
            <w:tcW w:w="3960" w:type="dxa"/>
            <w:tcBorders/>
          </w:tcPr>
          <w:p>
            <w:pPr>
              <w:pStyle w:val="Normal"/>
              <w:keepNext w:val="true"/>
              <w:snapToGrid w:val="false"/>
              <w:rPr>
                <w:b/>
                <w:smallCaps/>
              </w:rPr>
            </w:pPr>
            <w:r>
              <w:rPr>
                <w:b/>
                <w:smallCaps/>
              </w:rPr>
            </w:r>
          </w:p>
          <w:p>
            <w:pPr>
              <w:pStyle w:val="Normal"/>
              <w:keepNext w:val="true"/>
              <w:rPr/>
            </w:pPr>
            <w:r>
              <w:rPr/>
            </w:r>
          </w:p>
          <w:p>
            <w:pPr>
              <w:pStyle w:val="Normal"/>
              <w:keepNext w:val="true"/>
              <w:rPr/>
            </w:pPr>
            <w:r>
              <w:rPr/>
            </w:r>
          </w:p>
          <w:p>
            <w:pPr>
              <w:pStyle w:val="Normal"/>
              <w:keepNext w:val="true"/>
              <w:rPr/>
            </w:pPr>
            <w:r>
              <w:rPr/>
            </w:r>
          </w:p>
          <w:p>
            <w:pPr>
              <w:pStyle w:val="Normal"/>
              <w:keepNext w:val="true"/>
              <w:rPr/>
            </w:pPr>
            <w:r>
              <w:rPr/>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jc w:val="both"/>
              <w:rPr/>
            </w:pPr>
            <w:r>
              <w:rPr/>
              <w:t>___________________</w:t>
            </w:r>
          </w:p>
          <w:p>
            <w:pPr>
              <w:pStyle w:val="Normal"/>
              <w:keepNext w:val="true"/>
              <w:ind w:firstLine="18" w:start="-18" w:end="0"/>
              <w:rPr/>
            </w:pPr>
            <w:r>
              <w:rPr/>
              <w:t>___________________</w:t>
            </w:r>
          </w:p>
        </w:tc>
        <w:tc>
          <w:tcPr>
            <w:tcW w:w="3960" w:type="dxa"/>
            <w:tcBorders/>
          </w:tcPr>
          <w:p>
            <w:pPr>
              <w:pStyle w:val="Normal"/>
              <w:keepNext w:val="true"/>
              <w:snapToGrid w:val="false"/>
              <w:ind w:start="-14" w:end="0"/>
              <w:rPr/>
            </w:pPr>
            <w:r>
              <w:rPr/>
            </w:r>
          </w:p>
          <w:p>
            <w:pPr>
              <w:pStyle w:val="Normal"/>
              <w:keepNext w:val="true"/>
              <w:ind w:start="-14" w:end="0"/>
              <w:rPr/>
            </w:pPr>
            <w:r>
              <w:rPr/>
            </w:r>
          </w:p>
          <w:p>
            <w:pPr>
              <w:pStyle w:val="Normal"/>
              <w:keepNext w:val="true"/>
              <w:ind w:start="-14" w:end="0"/>
              <w:rPr/>
            </w:pPr>
            <w:r>
              <w:rPr/>
            </w:r>
          </w:p>
          <w:p>
            <w:pPr>
              <w:pStyle w:val="Normal"/>
              <w:keepNext w:val="true"/>
              <w:ind w:start="-14" w:end="0"/>
              <w:rPr/>
            </w:pPr>
            <w:r>
              <w:rPr/>
            </w:r>
          </w:p>
          <w:p>
            <w:pPr>
              <w:pStyle w:val="Normal"/>
              <w:keepNext w:val="true"/>
              <w:ind w:start="-14" w:end="0"/>
              <w:rPr/>
            </w:pPr>
            <w:r>
              <w:rPr/>
            </w:r>
          </w:p>
          <w:p>
            <w:pPr>
              <w:pStyle w:val="Normal"/>
              <w:keepNext w:val="true"/>
              <w:ind w:start="-14" w:end="0"/>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tab/>
              <w:tab/>
              <w:tab/>
            </w:r>
          </w:p>
          <w:p>
            <w:pPr>
              <w:pStyle w:val="Normal"/>
              <w:keepNext w:val="true"/>
              <w:rPr/>
            </w:pPr>
            <w:r>
              <w:rPr/>
              <w:t>by Wire Transfer</w:t>
            </w:r>
          </w:p>
          <w:p>
            <w:pPr>
              <w:pStyle w:val="Normal"/>
              <w:jc w:val="both"/>
              <w:rPr/>
            </w:pPr>
            <w:r>
              <w:rPr/>
              <w:tab/>
              <w:tab/>
              <w:tab/>
              <w:tab/>
            </w:r>
          </w:p>
          <w:p>
            <w:pPr>
              <w:pStyle w:val="Normal"/>
              <w:jc w:val="both"/>
              <w:rPr/>
            </w:pPr>
            <w:r>
              <w:rPr/>
              <w:t>___________________</w:t>
            </w:r>
          </w:p>
          <w:p>
            <w:pPr>
              <w:pStyle w:val="Normal"/>
              <w:jc w:val="both"/>
              <w:rPr/>
            </w:pPr>
            <w:r>
              <w:rPr/>
              <w:t>___________________</w:t>
            </w:r>
          </w:p>
        </w:tc>
      </w:tr>
      <w:tr>
        <w:trPr/>
        <w:tc>
          <w:tcPr>
            <w:tcW w:w="396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t>I</w:t>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Texas,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r>
    </w:p>
    <w:p>
      <w:pPr>
        <w:pStyle w:val="Normal"/>
        <w:rPr>
          <w:smallCaps/>
        </w:rPr>
      </w:pPr>
      <w:r>
        <w:rPr>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r>
        <w:rPr>
          <w:b/>
          <w:caps/>
        </w:rPr>
        <w:t xml:space="preserve"> </w:t>
      </w:r>
      <w:r>
        <w:rPr>
          <w:b/>
          <w:caps/>
          <w:sz w:val="20"/>
        </w:rPr>
        <w:t>AND FOR PURPOSES OF SECTION 1.1 SHALL INCLUDE special, consequential, incidental, AND/OR indirect damages AND LOST PROFITS</w:t>
      </w:r>
      <w:r>
        <w:rPr>
          <w:sz w:val="20"/>
        </w:rPr>
        <w:t>.</w:t>
      </w:r>
    </w:p>
    <w:p>
      <w:pPr>
        <w:pStyle w:val="BodyText"/>
        <w:ind w:hanging="0" w:end="0"/>
        <w:rPr/>
      </w:pPr>
      <w:r>
        <w:rPr>
          <w:sz w:val="20"/>
        </w:rPr>
        <w:t>"</w:t>
      </w:r>
      <w:r>
        <w:rPr>
          <w:b/>
          <w:sz w:val="20"/>
          <w:u w:val="single"/>
        </w:rPr>
        <w:t>Day</w:t>
      </w:r>
      <w:r>
        <w:rPr>
          <w:sz w:val="20"/>
        </w:rPr>
        <w:t>" shall mean a period of time beginning and ending at 9:00 a.m. C.T.</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Receipt Point(s) hereunder during a given period of time less compressor fuel, and loss and shrinkage of gas required for delivery of gas to the Delivery Point(s) hereunder during the same period of time.</w:t>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___________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is less than __________ Mcf for ninety (90) consecutive Days for reasons other than curtailment, dewatering, Force Majeure or other event out of Owner’s control, then the Agreement may be renegotiated for all Receipt Points at Gatherer's option by giving Owner written notice thereof.  In the event Gatherer exercises such right to renegotiate and the Parties fail to reach agreement within thirty (30) days, then Gatherer shall have the right to terminate this Agreement insofar as it relates to all Receipt Points upstream of the compression point, exercised after giving Owner thirty (30) Days written notice.</w:t>
      </w:r>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BodyText"/>
        <w:rPr>
          <w:sz w:val="20"/>
        </w:rPr>
      </w:pPr>
      <w:r>
        <w:rPr>
          <w:sz w:val="20"/>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r>
        <w:rPr>
          <w:b w:val="false"/>
          <w:sz w:val="20"/>
        </w:rPr>
        <w:t xml:space="preserve">Gatherer shall install and maintain compression facilities which have an average design suction pressure of ______ psig, in accordance with the provisions of the Facilities Development Plan attached hereto as </w:t>
      </w:r>
      <w:r>
        <w:rPr>
          <w:b w:val="false"/>
          <w:sz w:val="20"/>
          <w:u w:val="single"/>
        </w:rPr>
        <w:t>Exhibit "B</w:t>
      </w:r>
      <w:r>
        <w:rPr>
          <w:b w:val="false"/>
          <w:sz w:val="20"/>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from time to time to comply with downstream pipeline specifications:</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Not contain more than two percent (2%) by volume of carbon dioxide or two tenths of one percent (0.2%) by volume of oxygen or three percent (3%) by volume of total inerts;</w:t>
      </w:r>
    </w:p>
    <w:p>
      <w:pPr>
        <w:pStyle w:val="Normal"/>
        <w:jc w:val="both"/>
        <w:rPr/>
      </w:pPr>
      <w:r>
        <w:rPr/>
      </w:r>
    </w:p>
    <w:p>
      <w:pPr>
        <w:pStyle w:val="Normal"/>
        <w:tabs>
          <w:tab w:val="left" w:pos="720" w:leader="none"/>
        </w:tabs>
        <w:ind w:hanging="1440" w:start="1440" w:end="0"/>
        <w:jc w:val="both"/>
        <w:rPr/>
      </w:pPr>
      <w:r>
        <w:rPr/>
        <w:tab/>
        <w:t>(e)</w:t>
        <w:tab/>
        <w:t>Have a temperature of not less than forty (40) degrees Fahrenheit nor greater than one hundred and twenty (120) degrees Fahrenheit;</w:t>
      </w:r>
    </w:p>
    <w:p>
      <w:pPr>
        <w:pStyle w:val="Normal"/>
        <w:jc w:val="both"/>
        <w:rPr/>
      </w:pPr>
      <w:r>
        <w:rPr/>
      </w:r>
    </w:p>
    <w:p>
      <w:pPr>
        <w:pStyle w:val="Normal"/>
        <w:spacing w:before="0" w:after="120"/>
        <w:ind w:hanging="720" w:start="1440" w:end="720"/>
        <w:rPr/>
      </w:pPr>
      <w:r>
        <w:rPr/>
        <w:t>(f)</w:t>
        <w:tab/>
        <w:t>Contain not contain more than seven (7) pounds of entrained water vapor per million cubic feet.</w:t>
      </w:r>
    </w:p>
    <w:p>
      <w:pPr>
        <w:pStyle w:val="Normal"/>
        <w:tabs>
          <w:tab w:val="left" w:pos="720" w:leader="none"/>
        </w:tabs>
        <w:ind w:hanging="1440" w:start="1440" w:end="0"/>
        <w:jc w:val="both"/>
        <w:rPr/>
      </w:pPr>
      <w:r>
        <w:rPr/>
        <w:tab/>
        <w:t>(h)</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fee for such treating service.  If neither Gatherer nor Owner elects to treat the Gas to conform to the above specifications,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 xml:space="preserve">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Receipt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fifteen (15)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If Owner disputes any invoiced amount, it shall promptly notify Gatherer and the parties shall promptly resolve such dispute prior to the due date of the invoiced amount.  Owner shall, if requested by Gatherer for good and reasonable cause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not in dispute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spacing w:before="0" w:after="240"/>
        <w:jc w:val="both"/>
        <w:rPr/>
      </w:pPr>
      <w:r>
        <w:rPr/>
        <w:tab/>
        <w:t>Owner shall not assign or transfer its rights hereunder or Owner's Reserves without first obtaining Gatherer's written consent to such assignment or transfer, which shall not be unreasonably withheld.  Owner's transfer in violation hereof shall be void.  If Gatherer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Except as expressley provided for herein, In no event shall EITHER PARTY be liable to THE OTHER PARTY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SUCH OTHER PARTY,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in accordance with its Commercial Arbitration Rules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shall have the right to renegotiate this Agreement upon thirty (30) Days advance written notice to Owner.  If the parties fail to reach agreement after 30 days, then Gatherer can terminate this Agreement.</w:t>
      </w:r>
    </w:p>
    <w:p>
      <w:pPr>
        <w:pStyle w:val="Footer"/>
        <w:tabs>
          <w:tab w:val="clear" w:pos="4320"/>
          <w:tab w:val="clear" w:pos="8640"/>
        </w:tabs>
        <w:jc w:val="center"/>
        <w:rPr>
          <w:b/>
          <w:smallCaps/>
          <w:sz w:val="20"/>
        </w:rPr>
      </w:pPr>
      <w:r>
        <w:rPr>
          <w:b/>
          <w:smallCaps/>
          <w:sz w:val="20"/>
        </w:rPr>
        <w:t>EXHIBIT A</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0"/>
        </w:rPr>
      </w:pPr>
      <w:r>
        <w:rPr>
          <w:b/>
          <w:smallCaps/>
          <w:sz w:val="20"/>
        </w:rPr>
        <w:t>Reserve Commitment Area</w:t>
      </w:r>
    </w:p>
    <w:p>
      <w:pPr>
        <w:pStyle w:val="Footer"/>
        <w:tabs>
          <w:tab w:val="clear" w:pos="4320"/>
          <w:tab w:val="clear" w:pos="8640"/>
        </w:tabs>
        <w:jc w:val="center"/>
        <w:rPr>
          <w:b/>
          <w:smallCaps/>
          <w:sz w:val="20"/>
        </w:rPr>
      </w:pPr>
      <w:r>
        <w:rPr>
          <w:b/>
          <w:smallCaps/>
          <w:sz w:val="20"/>
        </w:rPr>
        <w:t>EXHIBIT B</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t>FACILITIES DEVELOPMENT PLAN</w:t>
      </w:r>
    </w:p>
    <w:p>
      <w:pPr>
        <w:pStyle w:val="Footer"/>
        <w:tabs>
          <w:tab w:val="clear" w:pos="4320"/>
          <w:tab w:val="clear" w:pos="8640"/>
        </w:tabs>
        <w:jc w:val="center"/>
        <w:rPr>
          <w:b/>
          <w:smallCaps/>
          <w:sz w:val="20"/>
        </w:rPr>
      </w:pPr>
      <w:r>
        <w:rPr>
          <w:b/>
          <w:smallCaps/>
          <w:sz w:val="20"/>
        </w:rPr>
      </w:r>
      <w:r>
        <w:br w:type="page"/>
      </w:r>
    </w:p>
    <w:p>
      <w:pPr>
        <w:pStyle w:val="Normal"/>
        <w:spacing w:before="120" w:after="0"/>
        <w:ind w:firstLine="720" w:end="0"/>
        <w:rPr>
          <w:b/>
          <w:smallCaps/>
          <w:sz w:val="20"/>
        </w:rPr>
      </w:pPr>
      <w:r>
        <w:rPr>
          <w:b/>
          <w:smallCaps/>
          <w:sz w:val="20"/>
        </w:rPr>
      </w:r>
    </w:p>
    <w:p>
      <w:pPr>
        <w:pStyle w:val="Footer"/>
        <w:tabs>
          <w:tab w:val="clear" w:pos="4320"/>
          <w:tab w:val="clear" w:pos="8640"/>
        </w:tabs>
        <w:jc w:val="center"/>
        <w:rPr>
          <w:b/>
          <w:smallCaps/>
          <w:sz w:val="20"/>
        </w:rPr>
      </w:pPr>
      <w:r>
        <w:rPr>
          <w:b/>
          <w:smallCaps/>
          <w:sz w:val="20"/>
        </w:rPr>
        <w:t>EXHIBIT C</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sz w:val="20"/>
        </w:rPr>
      </w:pPr>
      <w:r>
        <w:rPr>
          <w:b/>
          <w:smallCaps/>
          <w:sz w:val="20"/>
        </w:rPr>
        <w:t>EXHIBIT D</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MimicLev1"/>
        <w:spacing w:before="120" w:after="0"/>
        <w:rPr>
          <w:caps w:val="false"/>
          <w:smallCaps w:val="false"/>
          <w:sz w:val="20"/>
          <w:u w:val="single"/>
        </w:rPr>
      </w:pPr>
      <w:r>
        <w:rPr>
          <w:caps w:val="false"/>
          <w:smallCaps w:val="false"/>
          <w:sz w:val="20"/>
          <w:u w:val="single"/>
        </w:rPr>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sz w:val="20"/>
        </w:rPr>
      </w:pPr>
      <w:r>
        <w:rPr>
          <w:smallCaps/>
          <w:sz w:val="20"/>
        </w:rPr>
      </w:r>
    </w:p>
    <w:p>
      <w:pPr>
        <w:pStyle w:val="Footer"/>
        <w:tabs>
          <w:tab w:val="clear" w:pos="4320"/>
          <w:tab w:val="clear" w:pos="8640"/>
        </w:tabs>
        <w:jc w:val="center"/>
        <w:rPr>
          <w:b/>
          <w:smallCaps/>
          <w:sz w:val="20"/>
        </w:rPr>
      </w:pPr>
      <w:r>
        <w:rPr>
          <w:b/>
          <w:smallCaps/>
          <w:sz w:val="20"/>
        </w:rPr>
        <w:t>EXHIBIT E</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pStyle w:val="MimicLev1"/>
        <w:spacing w:before="120" w:after="0"/>
        <w:rPr>
          <w:caps w:val="false"/>
          <w:smallCaps w:val="false"/>
          <w:sz w:val="20"/>
        </w:rPr>
      </w:pPr>
      <w:r>
        <w:rPr>
          <w:caps w:val="false"/>
          <w:smallCaps w:val="false"/>
          <w:sz w:val="20"/>
        </w:rPr>
        <w:t>Measurement, Testing and Metering</w:t>
      </w:r>
    </w:p>
    <w:p>
      <w:pPr>
        <w:pStyle w:val="Normal"/>
        <w:keepNext w:val="true"/>
        <w:spacing w:before="0" w:after="120"/>
        <w:jc w:val="both"/>
        <w:rPr>
          <w:smallCaps/>
          <w:sz w:val="20"/>
        </w:rPr>
      </w:pPr>
      <w:r>
        <w:rPr>
          <w:smallCaps/>
          <w:sz w:val="20"/>
        </w:rPr>
      </w:r>
    </w:p>
    <w:p>
      <w:pPr>
        <w:pStyle w:val="Normal"/>
        <w:keepNext w:val="true"/>
        <w:spacing w:before="0" w:after="120"/>
        <w:jc w:val="both"/>
        <w:rPr/>
      </w:pPr>
      <w:r>
        <w:rPr/>
        <w:t>Except as otherwise agreed by Gatherer, the metering facilities to measure the volumes of Gas delivered at each Receipt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sz w:val="20"/>
        </w:rPr>
      </w:pPr>
      <w:r>
        <w:rPr>
          <w:sz w:val="20"/>
        </w:rPr>
      </w:r>
    </w:p>
    <w:p>
      <w:pPr>
        <w:pStyle w:val="Footer"/>
        <w:tabs>
          <w:tab w:val="clear" w:pos="4320"/>
          <w:tab w:val="clear" w:pos="8640"/>
        </w:tabs>
        <w:jc w:val="center"/>
        <w:rPr>
          <w:sz w:val="20"/>
        </w:rPr>
      </w:pPr>
      <w:r>
        <w:rPr>
          <w:sz w:val="20"/>
        </w:rPr>
      </w:r>
    </w:p>
    <w:p>
      <w:pPr>
        <w:pStyle w:val="Normal"/>
        <w:rPr>
          <w:sz w:val="20"/>
        </w:rPr>
      </w:pPr>
      <w:r>
        <w:rPr>
          <w:sz w:val="20"/>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Style w:val="PageNumber"/>
        <w:sz w:val="16"/>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rStyle w:val="PageNumber"/>
        <w:sz w:val="16"/>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/mnt/main-storage/datasets/enron-docs/doc/GatheringAgreement.doc</w:t>
    </w:r>
    <w:r>
      <w:rPr>
        <w:sz w:val="12"/>
      </w:rPr>
      <w:fldChar w:fldCharType="end"/>
    </w:r>
  </w:p>
  <w:p>
    <w:pPr>
      <w:pStyle w:val="Footer"/>
      <w:spacing w:before="240" w:after="0"/>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sz w:val="16"/>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rPr>
        <w:rStyle w:val="PageNumber"/>
        <w:sz w:val="16"/>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Style w:val="PageNumber"/>
        <w:sz w:val="16"/>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2001-06-21T13:40:00Z</dcterms:created>
  <dc:creator>Daniel J. Hyvl</dc:creator>
  <dc:description/>
  <dc:language>en-CA</dc:language>
  <cp:lastModifiedBy>gnemec</cp:lastModifiedBy>
  <cp:lastPrinted>2001-06-21T11:34:00Z</cp:lastPrinted>
  <dcterms:modified xsi:type="dcterms:W3CDTF">2001-06-21T14:16:00Z</dcterms:modified>
  <cp:revision>11</cp:revision>
  <dc:subject/>
  <dc:title>GATHERING SERVICES AGREEMENT</dc:title>
</cp:coreProperties>
</file>