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is developing and it or its designee will own and operate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and related facilities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between the GPP Pipeline and GPP Plant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and intending to be legally bound,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GPP Pipeline (the "Interconnect").  The Interconnect shall consist of the GPP Facilities, the HPL Operated Facilities, and the HPL Facilities, as defined below. The layout of the HPL Facilities and the interconnect with the GPP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which shall include (i) a tap valve on the GPP Pipeline, OPP, GPP's EFM/SCADA, GPP's communication equipment and instrumentation, and associated piping and pipeline related facilities up to the upstream block valve (during delivery mode to HPL from GPP) on 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block valve (during delivery mode to GPP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Interconnect during and after construction upon reasonable prior notice and provided that such inspections shall not unreasonably interfere with the business operations of the non-inspecting Party.  Upon receipt of written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in good faith a mutually agreeable schedule for the tie-in of the Interconnect with the HPL Pipeline and the GPP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GPP shall reimburse HPL for all reasonable direct and indirect costs for the design, installation, procurement, and construction of the HPL Facilities and the HPL Operated Facilities.  Notwithstanding the foregoing, HPL acknowledges that GPP intends to make payments under this Agreement from funds provided from project financing that will not be available at the time of execution of this Agreement.  HPL agrees that any and all work performed prior to the issuance to HPL by GPP of written notice to proceed shall be solely at HPL's risk and expense, without right of payment until and unless financial closing has occurred and written notice to proceed is issued and the work is performed as herein provided.  Upon GPP's financial closing, GPP shall, within 10 days, provide HPL written notice thereof.  Upon HPL's receipt of such notice and provided that the HPL Operated Facilities have been completed and accepted by GPP, GPP's obligation to reimburse HPL for all reasonable direct and indirect costs for the design, installation, procurement, and construction of the HPL Facilities under this Section 3 shall be effective and GPP shall pay HPL for such direct and indirect costs within 10 days of GPP's receipt of HPL's invoice therefor.  GPP's acceptance of the HPL Operated Facilities in the previous sentence shall not be unreasonably withheld.  In the event financial close by GPP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or its designee shall obtain, at its sole cost and expense, all clearances, permits, licenses, authorizations, easements and other land rights that may be needed for the construction, installation, maintenance, and operation of the GPP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provided that such access shall not unreasonably interfere with the business operations of the Party whose facilities are to be accessed.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or its designee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GPP.  GPP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Operated Facilities by HPL or its designee shall include operation of the ultrasonic meter (the "Meter") and HPL shall give GPP twenty-four hour operational notice to HPL prior to any testing or calibrating of the Meter.  GPP shall have the right to be present during testing or calibrating of the Meter;</w:t>
      </w:r>
      <w:r>
        <w:rPr/>
        <w:t xml:space="preserve"> </w:t>
      </w:r>
      <w:r>
        <w:rPr>
          <w:rFonts w:cs="Arial Narrow" w:ascii="Arial Narrow" w:hAnsi="Arial Narrow"/>
          <w:sz w:val="18"/>
        </w:rPr>
        <w:t xml:space="preserve">provided, if HPL has given such notice to GPP and GPP is not present at the time specified, then HPL may proceed with the tests as though GPP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GPP Facilities at pressures existing from time to time in the HPL Pipeline, which shall in no event be lower than 500 psig.  GPP shall deliver the gas to the HPL Facilities as pressure sufficient to effectuate deliveries at pressures existing in the HPL Pipeline from time to time.  The GPP Facilities shall include OPP equipment which shall be set at a pressure not to exceed the MAOP of the GPP Pipeline or the HPL Pipeline, as they may be modified from time to time upon receipt of reasonable prior written notice.  GPP or its designee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materially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promptly.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and applicable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 upon receipt of not less than ten (10) days prior written notice.</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PartY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Reasonable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and return receipt requested, or by reputable overnight delivery or facsimile,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211 Market Place</w:t>
      </w:r>
    </w:p>
    <w:p>
      <w:pPr>
        <w:pStyle w:val="Normal"/>
        <w:widowControl/>
        <w:rPr>
          <w:rFonts w:ascii="Arial Narrow" w:hAnsi="Arial Narrow" w:cs="Arial Narrow"/>
          <w:sz w:val="18"/>
        </w:rPr>
      </w:pPr>
      <w:r>
        <w:rPr>
          <w:rFonts w:cs="Arial Narrow" w:ascii="Arial Narrow" w:hAnsi="Arial Narrow"/>
          <w:sz w:val="18"/>
        </w:rPr>
        <w:t>Houston, Texas 77002-7361</w:t>
        <w:tab/>
        <w:tab/>
        <w:t>Suite</w:t>
      </w:r>
    </w:p>
    <w:p>
      <w:pPr>
        <w:pStyle w:val="Normal"/>
        <w:widowControl/>
        <w:rPr>
          <w:rFonts w:ascii="Arial Narrow" w:hAnsi="Arial Narrow" w:cs="Arial Narrow"/>
          <w:sz w:val="18"/>
        </w:rPr>
      </w:pPr>
      <w:r>
        <w:rPr>
          <w:rFonts w:cs="Arial Narrow" w:ascii="Arial Narrow" w:hAnsi="Arial Narrow"/>
          <w:sz w:val="18"/>
        </w:rPr>
        <w:t>Attention:  Natural Gas Assets</w:t>
        <w:tab/>
        <w:tab/>
        <w:t>Baltimore, MD</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delayed, or conditioned;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Gateway_Plant3.doc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12/21/99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1999-12-21T13:28:00Z</dcterms:created>
  <dc:creator>ECT</dc:creator>
  <dc:description/>
  <dc:language>en-CA</dc:language>
  <cp:lastModifiedBy>gnemec</cp:lastModifiedBy>
  <cp:lastPrinted>1999-11-15T18:10:00Z</cp:lastPrinted>
  <dcterms:modified xsi:type="dcterms:W3CDTF">1999-12-21T13:54:00Z</dcterms:modified>
  <cp:revision>5</cp:revision>
  <dc:subject/>
  <dc:title>Letter format</dc:title>
</cp:coreProperties>
</file>