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rPr>
          <w:u w:val="single"/>
        </w:rPr>
      </w:pPr>
      <w:r>
        <w:rPr>
          <w:u w:val="single"/>
        </w:rPr>
        <w:t>GASPART</w:t>
      </w:r>
    </w:p>
    <w:p>
      <w:pPr>
        <w:pStyle w:val="Bmed1st1"/>
        <w:numPr>
          <w:ilvl w:val="0"/>
          <w:numId w:val="0"/>
        </w:numPr>
        <w:ind w:hanging="0" w:start="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Regulation and Tariffs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Regulation and Tariffs</w:t>
                      </w:r>
                    </w:p>
                  </w:txbxContent>
                </v:textbox>
                <w10:wrap type="square"/>
              </v:rect>
            </w:pict>
          </mc:Fallback>
        </mc:AlternateContent>
      </w:r>
    </w:p>
    <w:p>
      <w:pPr>
        <w:pStyle w:val="Bmed1st1"/>
        <w:numPr>
          <w:ilvl w:val="0"/>
          <w:numId w:val="0"/>
        </w:numPr>
        <w:ind w:hanging="0" w:start="0"/>
        <w:rPr>
          <w:b/>
        </w:rPr>
      </w:pPr>
      <w:r>
        <w:rPr/>
        <w:t>Unlike CEG and Riogas, each of the Gaspart concession contracts provide for a tariff review each year at the option of each Gas LDC itself. The ROA [X] tariff setting mechanism readjusts the tariffs to ensure a 20% real rate of return [on historic cost asset values denominated in Reals] (even more beneficial than CEG/Riogas).  There is 50%-50% sharing of savings (X-factor) with a 20% cushion on costs/expenses.  [EXPLAIN]</w:t>
      </w:r>
    </w:p>
    <w:p>
      <w:pPr>
        <w:pStyle w:val="Bmed1st1"/>
        <w:numPr>
          <w:ilvl w:val="0"/>
          <w:numId w:val="0"/>
        </w:numPr>
        <w:ind w:hanging="0" w:start="0"/>
        <w:rPr>
          <w:b/>
        </w:rPr>
      </w:pPr>
      <w:r>
        <w:rPr/>
        <w:t>Volumes utilized to calculate the per unit tariffs are 80% of the previous year’s volume. Further information on tariffs is provided in the Appendix.</w:t>
      </w:r>
    </w:p>
    <w:p>
      <w:pPr>
        <w:pStyle w:val="BLKmed1st1"/>
        <w:rPr/>
      </w:pPr>
      <w:r>
        <w:rPr/>
        <w:t>[Provide further details on current tariffs by type of customer, tariff review dates, adjustment mechanisms, etc.]</w:t>
      </w:r>
    </w:p>
    <w:p>
      <w:pPr>
        <w:pStyle w:val="BLKmed1st1"/>
        <w:rPr/>
      </w:pPr>
      <w:r>
        <w:rPr/>
      </w:r>
    </w:p>
    <w:p>
      <w:pPr>
        <w:pStyle w:val="BLKmed1st1"/>
        <w:rPr/>
      </w:pPr>
      <w:r>
        <w:rPr/>
        <w:t>**********</w:t>
      </w:r>
    </w:p>
    <w:p>
      <w:pPr>
        <w:pStyle w:val="Normal"/>
        <w:ind w:start="-180" w:end="0"/>
        <w:rPr/>
      </w:pPr>
      <w:r>
        <w:rPr/>
      </w:r>
    </w:p>
    <w:p>
      <w:pPr>
        <w:pStyle w:val="Normal"/>
        <w:ind w:start="-180" w:end="0"/>
        <w:rPr/>
      </w:pPr>
      <w:r>
        <w:rPr/>
        <w:t>With a population of approximately 58 million in the Gaspart companies service areas and the exclusive closed-access franchise rights, management anticipates substantially higher residential and commercial consumption once these programs are in full implementation.</w:t>
      </w:r>
    </w:p>
    <w:p>
      <w:pPr>
        <w:pStyle w:val="Normal"/>
        <w:ind w:start="-180" w:end="0"/>
        <w:rPr/>
      </w:pPr>
      <w:r>
        <w:rPr/>
      </w:r>
    </w:p>
    <w:p>
      <w:pPr>
        <w:pStyle w:val="Normal"/>
        <w:ind w:start="-180" w:end="0"/>
        <w:rPr/>
      </w:pPr>
      <w:r>
        <w:rPr/>
        <w:t>Tariffs are a combination of the 1999 cost of gas escalated for Brazilian inflation, as measured by IGP-M and a margin designed to provide a 20% real return on the asset base of each Gaspart company for 2002.  The margins are based on 1999 margins escalated at Brazilian inflation, as measured by IGPM. The combined tariffs are then grossed up for PIS/COFINS and ICMS.</w:t>
      </w:r>
    </w:p>
    <w:p>
      <w:pPr>
        <w:pStyle w:val="Normal"/>
        <w:ind w:start="-180" w:end="0"/>
        <w:rPr/>
      </w:pPr>
      <w:r>
        <w:rPr/>
      </w:r>
    </w:p>
    <w:p>
      <w:pPr>
        <w:pStyle w:val="Normal"/>
        <w:ind w:start="-180" w:end="0"/>
        <w:rPr/>
      </w:pPr>
      <w:r>
        <w:rPr/>
        <w:t>Revenue taxes included in the historical and projected information are the PIS/COFINS and ICMS which will represent on a combined 15.65% of gross revenues.</w:t>
      </w:r>
    </w:p>
    <w:p>
      <w:pPr>
        <w:pStyle w:val="Normal"/>
        <w:ind w:start="-180" w:end="0"/>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jc w:val="center"/>
      <w:outlineLvl w:val="1"/>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character" w:styleId="boldund">
    <w:name w:val="bold und"/>
    <w:qFormat/>
    <w:rPr>
      <w:b/>
      <w:u w:val="single"/>
    </w:rPr>
  </w:style>
  <w:style w:type="character" w:styleId="hidden">
    <w:name w:val="hidde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1">
    <w:name w:val="B/med/1st/1"/>
    <w:basedOn w:val="Normal"/>
    <w:qFormat/>
    <w:pPr>
      <w:numPr>
        <w:ilvl w:val="0"/>
        <w:numId w:val="2"/>
      </w:numPr>
      <w:spacing w:before="0" w:after="220"/>
      <w:jc w:val="both"/>
    </w:pPr>
    <w:rPr>
      <w:sz w:val="22"/>
    </w:rPr>
  </w:style>
  <w:style w:type="paragraph" w:styleId="BLKmed1st1">
    <w:name w:val="BLK/med/1st/1"/>
    <w:basedOn w:val="Normal"/>
    <w:qFormat/>
    <w:pPr>
      <w:spacing w:lineRule="auto" w:line="300" w:before="0" w:after="220"/>
      <w:jc w:val="both"/>
    </w:pPr>
    <w:rPr>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TableSpacer">
    <w:name w:val="Table Spacer"/>
    <w:basedOn w:val="TableBody"/>
    <w:qFormat/>
    <w:pPr>
      <w:spacing w:lineRule="exact" w:line="120"/>
    </w:pPr>
    <w:rPr/>
  </w:style>
  <w:style w:type="paragraph" w:styleId="zSideBar">
    <w:name w:val="z SideBar"/>
    <w:basedOn w:val="Normal"/>
    <w:qFormat/>
    <w:pPr>
      <w:keepNext w:val="true"/>
    </w:pPr>
    <w:rPr>
      <w:b/>
      <w:i/>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2000-03-20T22:50:00Z</dcterms:created>
  <dc:creator>Vinson &amp; Elkins L.L.P.</dc:creator>
  <dc:description/>
  <dc:language>en-CA</dc:language>
  <cp:lastModifiedBy>Vinson &amp; Elkins L.L.P.</cp:lastModifiedBy>
  <dcterms:modified xsi:type="dcterms:W3CDTF">2000-03-21T01:02:00Z</dcterms:modified>
  <cp:revision>3</cp:revision>
  <dc:subject/>
  <dc:title>Northern LDCs</dc:title>
</cp:coreProperties>
</file>