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Project Cornhusker</w:t>
      </w:r>
    </w:p>
    <w:p>
      <w:pPr>
        <w:pStyle w:val="Normal"/>
        <w:jc w:val="center"/>
        <w:rPr>
          <w:b/>
          <w:sz w:val="32"/>
        </w:rPr>
      </w:pPr>
      <w:r>
        <w:rPr>
          <w:b/>
          <w:sz w:val="32"/>
        </w:rPr>
        <w:t>Tenaska IV Plant</w:t>
      </w:r>
    </w:p>
    <w:p>
      <w:pPr>
        <w:pStyle w:val="Normal"/>
        <w:jc w:val="center"/>
        <w:rPr>
          <w:b/>
          <w:sz w:val="32"/>
        </w:rPr>
      </w:pPr>
      <w:r>
        <w:rPr>
          <w:b/>
          <w:sz w:val="32"/>
        </w:rPr>
        <w:t>Cleburne, Texas</w:t>
      </w:r>
    </w:p>
    <w:p>
      <w:pPr>
        <w:pStyle w:val="Heading1"/>
        <w:ind w:hanging="0" w:start="0"/>
        <w:rPr/>
      </w:pPr>
      <w:r>
        <w:rPr/>
        <w:t>Summary – Gas Nominations &amp; Delivery</w:t>
      </w:r>
    </w:p>
    <w:p>
      <w:pPr>
        <w:pStyle w:val="Normal"/>
        <w:rPr/>
      </w:pPr>
      <w:r>
        <w:rPr/>
      </w:r>
    </w:p>
    <w:p>
      <w:pPr>
        <w:pStyle w:val="Normal"/>
        <w:rPr/>
      </w:pPr>
      <w:r>
        <w:rPr/>
      </w:r>
    </w:p>
    <w:p>
      <w:pPr>
        <w:pStyle w:val="Normal"/>
        <w:rPr/>
      </w:pPr>
      <w:r>
        <w:rPr>
          <w:b/>
          <w:i/>
          <w:sz w:val="24"/>
        </w:rPr>
        <w:t xml:space="preserve">How are power schedules received from Brazos and then translated into fuel requirements? </w:t>
      </w:r>
      <w:r>
        <w:rPr>
          <w:i/>
          <w:sz w:val="24"/>
        </w:rPr>
        <w:t xml:space="preserve"> </w:t>
      </w:r>
    </w:p>
    <w:p>
      <w:pPr>
        <w:pStyle w:val="Normal"/>
        <w:numPr>
          <w:ilvl w:val="0"/>
          <w:numId w:val="2"/>
        </w:numPr>
        <w:rPr>
          <w:b/>
          <w:sz w:val="24"/>
          <w:u w:val="single"/>
        </w:rPr>
      </w:pPr>
      <w:r>
        <w:rPr>
          <w:sz w:val="24"/>
        </w:rPr>
        <w:t>Tenaska IV sends a notification letter to Brazos, two days ahead of energy delivery, that states a level Tenaska IV can operate at, for this daily time period. Brazos sends back a nomination or schedule on how they will need to dispatch the plant for that day. This is just a guess on the part of Brazos because the Tenaska IV plant is on Automatic Generator Control, which means the plant will be dispatched at whatever load satisfies their real time system requirements.  This nomination letter is commonly referred to as the “</w:t>
      </w:r>
      <w:r>
        <w:rPr>
          <w:b/>
          <w:sz w:val="24"/>
          <w:u w:val="single"/>
        </w:rPr>
        <w:t>Tenaska IV Daily Generation Plan”.</w:t>
      </w:r>
    </w:p>
    <w:p>
      <w:pPr>
        <w:pStyle w:val="Normal"/>
        <w:rPr>
          <w:b/>
          <w:sz w:val="24"/>
          <w:u w:val="single"/>
        </w:rPr>
      </w:pPr>
      <w:r>
        <w:rPr>
          <w:b/>
          <w:sz w:val="24"/>
          <w:u w:val="single"/>
        </w:rPr>
      </w:r>
    </w:p>
    <w:p>
      <w:pPr>
        <w:pStyle w:val="Normal"/>
        <w:numPr>
          <w:ilvl w:val="0"/>
          <w:numId w:val="2"/>
        </w:numPr>
        <w:rPr>
          <w:sz w:val="24"/>
        </w:rPr>
      </w:pPr>
      <w:r>
        <w:rPr>
          <w:sz w:val="24"/>
        </w:rPr>
        <w:t>Tenaska IV receives the Brazos nomination and immediately sends Nancy Stivers (Tenaska) this daily dispatch (MW) nomination. Once again these noms are two days in advance. (i.e. Monday’s nom, received before 12 noon,  is for Wednesday’s delivery). Nancy has a conversion table that takes MW’s produced and it calculates gas consumption, which is then used as an estimate for gas deliveries. However during the peak months, the plant is typically dispatched at nearly full load or 48,000 MMBtu/day, so the exercise is relatively easy.</w:t>
      </w:r>
    </w:p>
    <w:p>
      <w:pPr>
        <w:pStyle w:val="Normal"/>
        <w:rPr>
          <w:sz w:val="24"/>
        </w:rPr>
      </w:pPr>
      <w:r>
        <w:rPr>
          <w:sz w:val="24"/>
        </w:rPr>
      </w:r>
    </w:p>
    <w:p>
      <w:pPr>
        <w:pStyle w:val="Normal"/>
        <w:numPr>
          <w:ilvl w:val="0"/>
          <w:numId w:val="2"/>
        </w:numPr>
        <w:rPr>
          <w:sz w:val="24"/>
        </w:rPr>
      </w:pPr>
      <w:r>
        <w:rPr>
          <w:sz w:val="24"/>
        </w:rPr>
        <w:t>Also on a monthly basis Tenaska IV will send an estimated dispatch nomination to Nancy Stivers. This is completed by the 15</w:t>
      </w:r>
      <w:r>
        <w:rPr>
          <w:sz w:val="24"/>
          <w:vertAlign w:val="superscript"/>
        </w:rPr>
        <w:t>th</w:t>
      </w:r>
      <w:r>
        <w:rPr>
          <w:sz w:val="24"/>
        </w:rPr>
        <w:t xml:space="preserve"> of the month before the delivery month. </w:t>
      </w:r>
    </w:p>
    <w:p>
      <w:pPr>
        <w:pStyle w:val="BodyText"/>
        <w:rPr>
          <w:sz w:val="24"/>
        </w:rPr>
      </w:pPr>
      <w:r>
        <w:rPr>
          <w:sz w:val="24"/>
        </w:rPr>
      </w:r>
    </w:p>
    <w:p>
      <w:pPr>
        <w:pStyle w:val="BodyText"/>
        <w:rPr/>
      </w:pPr>
      <w:r>
        <w:rPr/>
        <w:t>What has been the degree to which the plant (or Tenaska) has historically been involved with fuel suppliers beyond TGC (i.e. Apache, Williams, Lone Star)?</w:t>
      </w:r>
    </w:p>
    <w:p>
      <w:pPr>
        <w:pStyle w:val="BodyText"/>
        <w:rPr/>
      </w:pPr>
      <w:r>
        <w:rPr/>
      </w:r>
    </w:p>
    <w:p>
      <w:pPr>
        <w:pStyle w:val="BodyText"/>
        <w:rPr>
          <w:b w:val="false"/>
          <w:i w:val="false"/>
          <w:i w:val="false"/>
        </w:rPr>
      </w:pPr>
      <w:r>
        <w:rPr>
          <w:b w:val="false"/>
          <w:i w:val="false"/>
        </w:rPr>
        <w:t xml:space="preserve">TGC initially did business with Tri Star. But now almost all the spot business (either buying or selling) is done with their own company, Tenaska Marketing Ventures. </w:t>
      </w:r>
    </w:p>
    <w:p>
      <w:pPr>
        <w:pStyle w:val="BodyText"/>
        <w:rPr>
          <w:b w:val="false"/>
          <w:i w:val="false"/>
          <w:i w:val="false"/>
        </w:rPr>
      </w:pPr>
      <w:r>
        <w:rPr>
          <w:b w:val="false"/>
          <w:i w:val="false"/>
        </w:rPr>
      </w:r>
    </w:p>
    <w:p>
      <w:pPr>
        <w:pStyle w:val="BodyText"/>
        <w:rPr/>
      </w:pPr>
      <w:r>
        <w:rPr/>
        <w:t xml:space="preserve">Why are there structural differences between the Apache/Williams fuel supply agreements and the TGC agency agreement? </w:t>
      </w:r>
      <w:r>
        <w:rPr>
          <w:b w:val="false"/>
          <w:i w:val="false"/>
        </w:rPr>
        <w:t xml:space="preserve">The volumes or MDQ’s in the agency agreement were meant to match the Lone Star agreement and not the fuel supply agreements. Technically, the agency agreement should be a mirror contract to both fuel supply agreements. However, the original intent of the agency agreement was to give Tenaska’s own marketing company the ability to sell gas to the project. </w:t>
      </w:r>
    </w:p>
    <w:p>
      <w:pPr>
        <w:pStyle w:val="BodyText"/>
        <w:rPr>
          <w:b w:val="false"/>
          <w:i w:val="false"/>
          <w:i w:val="false"/>
        </w:rPr>
      </w:pPr>
      <w:r>
        <w:rPr>
          <w:b w:val="false"/>
          <w:i w:val="false"/>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TGC’s experience with optimizing value under the fuel supply agreements?</w:t>
      </w:r>
    </w:p>
    <w:p>
      <w:pPr>
        <w:pStyle w:val="BodyText"/>
        <w:rPr>
          <w:b w:val="false"/>
          <w:i w:val="false"/>
          <w:i w:val="false"/>
        </w:rPr>
      </w:pPr>
      <w:r>
        <w:rPr>
          <w:b w:val="false"/>
          <w:i w:val="false"/>
        </w:rPr>
        <w:t xml:space="preserve">According to Tenaska they were taking advantage and optimizing value under the fuel supply agreements. If spot gas prices fall below the commodity price, they would cut Apache/Williams (taking advantage of the 70% minimum take) and buy spot gas. Conversely, if spot gas prices were above the Commodity Price, then TGC would take their MDQ and depending upon plant dispatch, sell the incremental portion in the market. The suppliers knew they were doing this and did not prevent them from continuing this practice. Once again Tenaska was utilizing Tenaska Marketing Ventures as their supplier and buyer. </w:t>
      </w:r>
    </w:p>
    <w:p>
      <w:pPr>
        <w:pStyle w:val="BodyText"/>
        <w:rPr>
          <w:b w:val="false"/>
          <w:i w:val="false"/>
          <w:i w:val="false"/>
        </w:rPr>
      </w:pPr>
      <w:r>
        <w:rPr>
          <w:b w:val="false"/>
          <w:i w:val="false"/>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2000-07-27T15:03:00Z</dcterms:created>
  <dc:creator>mmazowi</dc:creator>
  <dc:description/>
  <dc:language>en-CA</dc:language>
  <cp:lastModifiedBy>mmazowi</cp:lastModifiedBy>
  <dcterms:modified xsi:type="dcterms:W3CDTF">2000-07-27T15:03:00Z</dcterms:modified>
  <cp:revision>1</cp:revision>
  <dc:subject/>
  <dc:title>Project Cornhusker</dc:title>
</cp:coreProperties>
</file>