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t>Clean Draft 4/19/2001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 on or before Tuesday, April __, 2001 that certain firm transportation capacity on the pipeline system of El Paso Natural Gas Company (“El Paso”) identified as “Volume 1,” “Volume 2,” and “Volume 3” on Exhibit 2 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3"/>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3"/>
        </w:numPr>
        <w:jc w:val="both"/>
        <w:rPr>
          <w:sz w:val="24"/>
        </w:rPr>
      </w:pPr>
      <w:r>
        <w:rPr>
          <w:sz w:val="24"/>
          <w:u w:val="single"/>
        </w:rPr>
        <w:t>Release of Initial Pipeline Capacity to ENA; Spread Value</w:t>
      </w:r>
      <w:r>
        <w:rPr>
          <w:sz w:val="24"/>
        </w:rPr>
        <w:t>.  (a) As soon as possible but in any event not later than 5:00 p.m. prevailing Houston time on April __,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3"/>
        </w:numPr>
        <w:spacing w:before="0" w:after="120"/>
        <w:jc w:val="both"/>
        <w:rPr>
          <w:sz w:val="24"/>
        </w:rPr>
      </w:pPr>
      <w:r>
        <w:rPr>
          <w:sz w:val="24"/>
          <w:u w:val="single"/>
        </w:rPr>
        <w:t>Release of Capacity for Less than the Full Term</w:t>
      </w:r>
      <w:r>
        <w:rPr>
          <w:sz w:val="24"/>
        </w:rPr>
        <w:t xml:space="preserve">.  (a) If on May 25, 2001 and thereafter if on the fifth business day prior to the last day of any subsequent month occurring during the term of this Agreement (hereafter collectively an “Exercise Date”)  (I think that the following is really the relevant part when we draw back and read and I got worried about whose default it might be etc.)ENA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3"/>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3"/>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2 hereto. </w:t>
      </w:r>
    </w:p>
    <w:p>
      <w:pPr>
        <w:pStyle w:val="Normal"/>
        <w:numPr>
          <w:ilvl w:val="0"/>
          <w:numId w:val="3"/>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3"/>
        </w:numPr>
        <w:jc w:val="both"/>
        <w:rPr>
          <w:sz w:val="24"/>
        </w:rPr>
      </w:pPr>
      <w:r>
        <w:rPr>
          <w:sz w:val="24"/>
          <w:u w:val="single"/>
        </w:rPr>
        <w:t>Replacement Collateral</w:t>
      </w:r>
      <w:r>
        <w:rPr>
          <w:sz w:val="24"/>
        </w:rPr>
        <w:t>.  (a)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3"/>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3"/>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3"/>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3"/>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3"/>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3"/>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3"/>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3"/>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3"/>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3"/>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3"/>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3"/>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rPr>
      </w:pPr>
      <w:r>
        <w:rPr>
          <w:u w:val="single"/>
        </w:rPr>
        <w:t>Spread Value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2001-04-19T14:01:00Z</dcterms:created>
  <dc:creator>Peter Meier</dc:creator>
  <dc:description/>
  <dc:language>en-CA</dc:language>
  <cp:lastModifiedBy>Peter Meier</cp:lastModifiedBy>
  <cp:lastPrinted>2001-04-18T13:59:00Z</cp:lastPrinted>
  <dcterms:modified xsi:type="dcterms:W3CDTF">2001-04-19T14:34:00Z</dcterms:modified>
  <cp:revision>4</cp:revision>
  <dc:subject/>
  <dc:title>AGREEMENT WITH RESPECT TO GAS TRANSPORTATION</dc:title>
</cp:coreProperties>
</file>