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end"/>
        <w:rPr/>
      </w:pPr>
      <w:r>
        <w:rPr>
          <w:sz w:val="24"/>
        </w:rPr>
        <w:t>Draft 4/</w:t>
      </w:r>
      <w:del w:id="0" w:author="Peter Meier" w:date="2001-04-18T12:04:00Z">
        <w:r>
          <w:rPr>
            <w:sz w:val="24"/>
          </w:rPr>
          <w:delText>13</w:delText>
        </w:r>
      </w:del>
      <w:ins w:id="1" w:author="Peter Meier" w:date="2001-04-18T12:04:00Z">
        <w:r>
          <w:rPr>
            <w:sz w:val="24"/>
          </w:rPr>
          <w:t>18</w:t>
        </w:r>
      </w:ins>
      <w:r>
        <w:rPr>
          <w:sz w:val="24"/>
        </w:rPr>
        <w:t>/2001</w:t>
      </w:r>
    </w:p>
    <w:p>
      <w:pPr>
        <w:pStyle w:val="Normal"/>
        <w:jc w:val="center"/>
        <w:rPr>
          <w:sz w:val="24"/>
        </w:rPr>
      </w:pPr>
      <w:r>
        <w:rPr>
          <w:sz w:val="24"/>
        </w:rPr>
      </w:r>
    </w:p>
    <w:p>
      <w:pPr>
        <w:pStyle w:val="Normal"/>
        <w:jc w:val="center"/>
        <w:rPr>
          <w:sz w:val="24"/>
        </w:rPr>
      </w:pPr>
      <w:r>
        <w:rPr>
          <w:sz w:val="24"/>
        </w:rPr>
        <w:t>GAS TRANSACTIONS SUPPORT AGREEMENT</w:t>
      </w:r>
    </w:p>
    <w:p>
      <w:pPr>
        <w:pStyle w:val="Normal"/>
        <w:jc w:val="center"/>
        <w:rPr>
          <w:sz w:val="24"/>
        </w:rPr>
      </w:pPr>
      <w:r>
        <w:rPr>
          <w:sz w:val="24"/>
        </w:rPr>
      </w:r>
    </w:p>
    <w:p>
      <w:pPr>
        <w:pStyle w:val="Normal"/>
        <w:jc w:val="both"/>
        <w:rPr>
          <w:sz w:val="24"/>
        </w:rPr>
      </w:pPr>
      <w:r>
        <w:rPr>
          <w:sz w:val="24"/>
        </w:rPr>
        <w:tab/>
        <w:t>This Gas Transactions Support Agreement (this “Agreement”) is entered into as of April __, 2001 between PG&amp;E Energy Trading – Gas Corporation (“ET Gas”) and Enron North America Corp. (“ENA”).</w:t>
      </w:r>
    </w:p>
    <w:p>
      <w:pPr>
        <w:pStyle w:val="Normal"/>
        <w:jc w:val="both"/>
        <w:rPr>
          <w:sz w:val="24"/>
        </w:rPr>
      </w:pPr>
      <w:r>
        <w:rPr>
          <w:sz w:val="24"/>
        </w:rPr>
      </w:r>
    </w:p>
    <w:p>
      <w:pPr>
        <w:pStyle w:val="Heading1"/>
        <w:ind w:hanging="0" w:start="0"/>
        <w:rPr/>
      </w:pPr>
      <w:r>
        <w:rPr/>
        <w:t>Recitals</w:t>
      </w:r>
    </w:p>
    <w:p>
      <w:pPr>
        <w:pStyle w:val="Normal"/>
        <w:jc w:val="center"/>
        <w:rPr>
          <w:sz w:val="24"/>
        </w:rPr>
      </w:pPr>
      <w:r>
        <w:rPr>
          <w:sz w:val="24"/>
        </w:rPr>
      </w:r>
    </w:p>
    <w:p>
      <w:pPr>
        <w:pStyle w:val="BodyText"/>
        <w:numPr>
          <w:ilvl w:val="0"/>
          <w:numId w:val="3"/>
        </w:numPr>
        <w:rPr/>
      </w:pPr>
      <w:r>
        <w:rPr/>
        <w:t>ET Gas and ENA are parties to an ISDA Master Agreement dated as of January 15, 1999 (as amended from time to time, the “ISDA Agreement”);</w:t>
      </w:r>
    </w:p>
    <w:p>
      <w:pPr>
        <w:pStyle w:val="Normal"/>
        <w:jc w:val="both"/>
        <w:rPr>
          <w:sz w:val="24"/>
        </w:rPr>
      </w:pPr>
      <w:r>
        <w:rPr>
          <w:sz w:val="24"/>
        </w:rPr>
      </w:r>
    </w:p>
    <w:p>
      <w:pPr>
        <w:pStyle w:val="Normal"/>
        <w:numPr>
          <w:ilvl w:val="0"/>
          <w:numId w:val="3"/>
        </w:numPr>
        <w:jc w:val="both"/>
        <w:rPr>
          <w:sz w:val="24"/>
        </w:rPr>
      </w:pPr>
      <w:r>
        <w:rPr>
          <w:sz w:val="24"/>
        </w:rPr>
        <w:t>Pursuant to the ISDA Agreement, ET Gas and ENA have entered into certain gas transactions listed on Exhibit 1 hereto (collectively, the “Gas Transactions”);</w:t>
      </w:r>
    </w:p>
    <w:p>
      <w:pPr>
        <w:pStyle w:val="Normal"/>
        <w:jc w:val="both"/>
        <w:rPr>
          <w:sz w:val="24"/>
        </w:rPr>
      </w:pPr>
      <w:r>
        <w:rPr>
          <w:sz w:val="24"/>
        </w:rPr>
      </w:r>
    </w:p>
    <w:p>
      <w:pPr>
        <w:pStyle w:val="Normal"/>
        <w:numPr>
          <w:ilvl w:val="0"/>
          <w:numId w:val="3"/>
        </w:numPr>
        <w:jc w:val="both"/>
        <w:rPr>
          <w:sz w:val="24"/>
        </w:rPr>
      </w:pPr>
      <w:r>
        <w:rPr>
          <w:sz w:val="24"/>
        </w:rPr>
        <w:t>ET Gas and certain of its affiliates on the one hand (the “PG&amp;E Parties”) and ENA and certain of its affiliates on the other hand (the “Enron Parties”) are party to a Master Netting, Setoff and Security Agreement dated as of February 2, 2001 (</w:t>
      </w:r>
      <w:ins w:id="2" w:author="Peter Meier" w:date="2001-04-18T12:46:00Z">
        <w:r>
          <w:rPr>
            <w:sz w:val="24"/>
          </w:rPr>
          <w:t xml:space="preserve">as amended from time to time, </w:t>
        </w:r>
      </w:ins>
      <w:r>
        <w:rPr>
          <w:sz w:val="24"/>
        </w:rPr>
        <w:t>the “Master Netting Agreement”);</w:t>
      </w:r>
    </w:p>
    <w:p>
      <w:pPr>
        <w:pStyle w:val="Normal"/>
        <w:jc w:val="both"/>
        <w:rPr>
          <w:sz w:val="24"/>
        </w:rPr>
      </w:pPr>
      <w:r>
        <w:rPr>
          <w:sz w:val="24"/>
        </w:rPr>
      </w:r>
    </w:p>
    <w:p>
      <w:pPr>
        <w:pStyle w:val="Normal"/>
        <w:numPr>
          <w:ilvl w:val="0"/>
          <w:numId w:val="3"/>
        </w:numPr>
        <w:jc w:val="both"/>
        <w:rPr>
          <w:sz w:val="24"/>
        </w:rPr>
      </w:pPr>
      <w:r>
        <w:rPr>
          <w:sz w:val="24"/>
        </w:rPr>
        <w:t xml:space="preserve">ET Gas will release on or before Tuesday, April </w:t>
      </w:r>
      <w:del w:id="3" w:author="Peter Meier" w:date="2001-04-18T12:17:00Z">
        <w:r>
          <w:rPr>
            <w:sz w:val="24"/>
          </w:rPr>
          <w:delText>17</w:delText>
        </w:r>
      </w:del>
      <w:ins w:id="4" w:author="Peter Meier" w:date="2001-04-18T12:17:00Z">
        <w:r>
          <w:rPr>
            <w:sz w:val="24"/>
          </w:rPr>
          <w:t>__</w:t>
        </w:r>
      </w:ins>
      <w:r>
        <w:rPr>
          <w:sz w:val="24"/>
        </w:rPr>
        <w:t xml:space="preserve">, 2001 that certain firm transportation capacity on the pipeline system of El Paso Natural Gas Company (“El Paso”) identified </w:t>
      </w:r>
      <w:ins w:id="5" w:author="Peter Meier" w:date="2001-04-18T13:02:00Z">
        <w:r>
          <w:rPr>
            <w:sz w:val="24"/>
          </w:rPr>
          <w:t xml:space="preserve">as “Volume 1,” “Volume 2,” and “Volume 3” </w:t>
        </w:r>
      </w:ins>
      <w:r>
        <w:rPr>
          <w:sz w:val="24"/>
        </w:rPr>
        <w:t xml:space="preserve">on Exhibit 2 hereto (the “Initial Pipeline Capacity”) to ENA, utilizing a </w:t>
      </w:r>
      <w:del w:id="6" w:author="lmellen" w:date="2001-04-18T17:03:00Z">
        <w:r>
          <w:rPr>
            <w:sz w:val="24"/>
          </w:rPr>
          <w:delText>C</w:delText>
        </w:r>
      </w:del>
      <w:ins w:id="7" w:author="lmellen" w:date="2001-04-18T17:03:00Z">
        <w:r>
          <w:rPr>
            <w:sz w:val="24"/>
          </w:rPr>
          <w:t>c</w:t>
        </w:r>
      </w:ins>
      <w:r>
        <w:rPr>
          <w:sz w:val="24"/>
        </w:rPr>
        <w:t xml:space="preserve">apacity </w:t>
      </w:r>
      <w:del w:id="8" w:author="lmellen" w:date="2001-04-18T17:04:00Z">
        <w:r>
          <w:rPr>
            <w:sz w:val="24"/>
          </w:rPr>
          <w:delText>R</w:delText>
        </w:r>
      </w:del>
      <w:ins w:id="9" w:author="lmellen" w:date="2001-04-18T17:04:00Z">
        <w:r>
          <w:rPr>
            <w:sz w:val="24"/>
          </w:rPr>
          <w:t>r</w:t>
        </w:r>
      </w:ins>
      <w:r>
        <w:rPr>
          <w:sz w:val="24"/>
        </w:rPr>
        <w:t xml:space="preserve">elease </w:t>
      </w:r>
      <w:del w:id="10" w:author="lmellen" w:date="2001-04-18T17:12:00Z">
        <w:r>
          <w:rPr>
            <w:color w:val="0000FF"/>
            <w:sz w:val="24"/>
          </w:rPr>
          <w:delText>N</w:delText>
        </w:r>
      </w:del>
      <w:ins w:id="11" w:author="lmellen" w:date="2001-04-18T17:13:00Z">
        <w:r>
          <w:rPr>
            <w:color w:val="0000FF"/>
            <w:sz w:val="24"/>
          </w:rPr>
          <w:t>n</w:t>
        </w:r>
      </w:ins>
      <w:r>
        <w:rPr>
          <w:color w:val="0000FF"/>
          <w:sz w:val="24"/>
        </w:rPr>
        <w:t>otic</w:t>
      </w:r>
      <w:del w:id="12" w:author="lmellen" w:date="2001-04-18T17:14:00Z">
        <w:r>
          <w:rPr>
            <w:color w:val="0000FF"/>
            <w:sz w:val="24"/>
          </w:rPr>
          <w:delText>e</w:delText>
        </w:r>
      </w:del>
      <w:del w:id="13" w:author="lmellen" w:date="2001-04-18T17:14:00Z">
        <w:r>
          <w:rPr>
            <w:sz w:val="24"/>
          </w:rPr>
          <w:delText xml:space="preserve"> i</w:delText>
        </w:r>
      </w:del>
      <w:ins w:id="14" w:author="lmellen" w:date="2001-04-18T17:14:00Z">
        <w:r>
          <w:rPr>
            <w:sz w:val="24"/>
          </w:rPr>
          <w:t>I mistyped this and can’t get it to go back!</w:t>
        </w:r>
      </w:ins>
      <w:r>
        <w:rPr>
          <w:sz w:val="24"/>
        </w:rPr>
        <w:t xml:space="preserve">n </w:t>
      </w:r>
      <w:ins w:id="15" w:author="Peter Meier" w:date="2001-04-18T12:06:00Z">
        <w:r>
          <w:rPr>
            <w:sz w:val="24"/>
          </w:rPr>
          <w:t>compliance with the requirements of El Paso</w:t>
        </w:r>
      </w:ins>
      <w:ins w:id="16" w:author="lmellen" w:date="2001-04-18T17:15:00Z">
        <w:r>
          <w:rPr>
            <w:sz w:val="24"/>
          </w:rPr>
          <w:t xml:space="preserve"> to effectuate a pre-arranged release without any rights of recall by ET Gas</w:t>
        </w:r>
      </w:ins>
      <w:del w:id="17" w:author="Peter Meier" w:date="2001-04-18T12:07:00Z">
        <w:r>
          <w:rPr>
            <w:sz w:val="24"/>
          </w:rPr>
          <w:delText>the form and containing the terms set forth on Exhibit 3 hereto</w:delText>
        </w:r>
      </w:del>
      <w:r>
        <w:rPr>
          <w:sz w:val="24"/>
        </w:rPr>
        <w:t xml:space="preserve"> (</w:t>
      </w:r>
      <w:ins w:id="18" w:author="Peter Meier" w:date="2001-04-18T12:07:00Z">
        <w:r>
          <w:rPr>
            <w:sz w:val="24"/>
          </w:rPr>
          <w:t xml:space="preserve">such notice and each subsequent </w:t>
        </w:r>
      </w:ins>
      <w:ins w:id="19" w:author="Peter Meier" w:date="2001-04-18T12:09:00Z">
        <w:r>
          <w:rPr>
            <w:sz w:val="24"/>
          </w:rPr>
          <w:t>release</w:t>
        </w:r>
      </w:ins>
      <w:ins w:id="20" w:author="Peter Meier" w:date="2001-04-18T12:07:00Z">
        <w:r>
          <w:rPr>
            <w:sz w:val="24"/>
          </w:rPr>
          <w:t xml:space="preserve"> in accordance with the terms hereof, being referred to as </w:t>
        </w:r>
      </w:ins>
      <w:r>
        <w:rPr>
          <w:sz w:val="24"/>
        </w:rPr>
        <w:t>the “Transfer Notice”) ;</w:t>
      </w:r>
    </w:p>
    <w:p>
      <w:pPr>
        <w:pStyle w:val="Normal"/>
        <w:jc w:val="both"/>
        <w:rPr>
          <w:sz w:val="24"/>
        </w:rPr>
      </w:pPr>
      <w:r>
        <w:rPr>
          <w:sz w:val="24"/>
        </w:rPr>
      </w:r>
    </w:p>
    <w:p>
      <w:pPr>
        <w:pStyle w:val="Normal"/>
        <w:numPr>
          <w:ilvl w:val="0"/>
          <w:numId w:val="3"/>
        </w:numPr>
        <w:jc w:val="both"/>
        <w:rPr>
          <w:sz w:val="24"/>
        </w:rPr>
      </w:pPr>
      <w:r>
        <w:rPr>
          <w:sz w:val="24"/>
        </w:rPr>
        <w:t>ET Gas and ENA desire to enter into this Agreement in order to establish the terms on which (a) ET Gas will receive credit for the Spread Value (as defined in Section 4 below) against its obligation to provide collateral under the ISDA Agreement and the Master Netting Agreement and (b) ET Gas</w:t>
      </w:r>
      <w:ins w:id="21" w:author="Peter Meier" w:date="2001-04-18T12:08:00Z">
        <w:r>
          <w:rPr>
            <w:sz w:val="24"/>
          </w:rPr>
          <w:t xml:space="preserve"> or a designated </w:t>
        </w:r>
      </w:ins>
      <w:ins w:id="22" w:author="lmellen" w:date="2001-04-18T16:35:00Z">
        <w:r>
          <w:rPr>
            <w:sz w:val="24"/>
          </w:rPr>
          <w:t xml:space="preserve">wholly-owned </w:t>
        </w:r>
      </w:ins>
      <w:ins w:id="23" w:author="lmellen" w:date="2001-04-18T16:42:00Z">
        <w:r>
          <w:rPr>
            <w:sz w:val="24"/>
          </w:rPr>
          <w:t xml:space="preserve">direct or indirect subsidiary </w:t>
        </w:r>
      </w:ins>
      <w:ins w:id="24" w:author="Peter Meier" w:date="2001-04-18T12:08:00Z">
        <w:del w:id="25" w:author="lmellen" w:date="2001-04-18T16:42:00Z">
          <w:r>
            <w:rPr>
              <w:sz w:val="24"/>
            </w:rPr>
            <w:delText>affiliate</w:delText>
          </w:r>
        </w:del>
      </w:ins>
      <w:ins w:id="26" w:author="lmellen" w:date="2001-04-18T16:35:00Z">
        <w:r>
          <w:rPr>
            <w:sz w:val="24"/>
          </w:rPr>
          <w:t xml:space="preserve"> of PG&amp;E National Energy Group, Inc.</w:t>
        </w:r>
      </w:ins>
      <w:r>
        <w:rPr>
          <w:sz w:val="24"/>
        </w:rPr>
        <w:t xml:space="preserve"> </w:t>
      </w:r>
      <w:ins w:id="27" w:author="Peter Meier" w:date="2001-04-18T12:09:00Z">
        <w:r>
          <w:rPr>
            <w:sz w:val="24"/>
          </w:rPr>
          <w:t xml:space="preserve">(the “Designee”) </w:t>
        </w:r>
      </w:ins>
      <w:r>
        <w:rPr>
          <w:sz w:val="24"/>
        </w:rPr>
        <w:t xml:space="preserve">will be entitled to </w:t>
      </w:r>
      <w:del w:id="28" w:author="Peter Meier" w:date="2001-04-18T12:09:00Z">
        <w:r>
          <w:rPr>
            <w:sz w:val="24"/>
          </w:rPr>
          <w:delText xml:space="preserve">recall </w:delText>
        </w:r>
      </w:del>
      <w:ins w:id="29" w:author="Peter Meier" w:date="2001-04-18T12:09:00Z">
        <w:r>
          <w:rPr>
            <w:sz w:val="24"/>
          </w:rPr>
          <w:t xml:space="preserve">obtain release </w:t>
        </w:r>
      </w:ins>
      <w:ins w:id="30" w:author="Peter Meier" w:date="2001-04-18T14:27:00Z">
        <w:r>
          <w:rPr>
            <w:color w:val="0000FF"/>
            <w:sz w:val="24"/>
          </w:rPr>
          <w:t>from</w:t>
        </w:r>
      </w:ins>
      <w:ins w:id="31" w:author="lmellen" w:date="2001-04-18T15:44:00Z">
        <w:r>
          <w:rPr>
            <w:color w:val="0000FF"/>
            <w:sz w:val="24"/>
          </w:rPr>
          <w:t xml:space="preserve"> (put space here) </w:t>
        </w:r>
      </w:ins>
      <w:ins w:id="32" w:author="Peter Meier" w:date="2001-04-18T14:27:00Z">
        <w:r>
          <w:rPr>
            <w:color w:val="0000FF"/>
            <w:sz w:val="24"/>
          </w:rPr>
          <w:t>ENA</w:t>
        </w:r>
      </w:ins>
      <w:ins w:id="33" w:author="Peter Meier" w:date="2001-04-18T14:27:00Z">
        <w:r>
          <w:rPr>
            <w:sz w:val="24"/>
          </w:rPr>
          <w:t xml:space="preserve"> </w:t>
        </w:r>
      </w:ins>
      <w:ins w:id="34" w:author="Peter Meier" w:date="2001-04-18T12:09:00Z">
        <w:r>
          <w:rPr>
            <w:sz w:val="24"/>
          </w:rPr>
          <w:t xml:space="preserve">of </w:t>
        </w:r>
      </w:ins>
      <w:r>
        <w:rPr>
          <w:sz w:val="24"/>
        </w:rPr>
        <w:t>the Initial Pipeline Capacity (as such amount may be adjusted downward as permitted by this Agreement (the “Pipeline Capacity”).</w:t>
      </w:r>
    </w:p>
    <w:p>
      <w:pPr>
        <w:pStyle w:val="Normal"/>
        <w:jc w:val="both"/>
        <w:rPr>
          <w:sz w:val="24"/>
        </w:rPr>
      </w:pPr>
      <w:r>
        <w:rPr>
          <w:sz w:val="24"/>
        </w:rPr>
      </w:r>
    </w:p>
    <w:p>
      <w:pPr>
        <w:pStyle w:val="Heading2"/>
        <w:rPr/>
      </w:pPr>
      <w:r>
        <w:rPr/>
        <w:t>Agreement</w:t>
      </w:r>
    </w:p>
    <w:p>
      <w:pPr>
        <w:pStyle w:val="Normal"/>
        <w:ind w:start="720" w:end="0"/>
        <w:jc w:val="center"/>
        <w:rPr>
          <w:sz w:val="24"/>
        </w:rPr>
      </w:pPr>
      <w:r>
        <w:rPr>
          <w:sz w:val="24"/>
        </w:rPr>
      </w:r>
    </w:p>
    <w:p>
      <w:pPr>
        <w:pStyle w:val="Normal"/>
        <w:ind w:firstLine="720" w:end="0"/>
        <w:jc w:val="both"/>
        <w:rPr>
          <w:sz w:val="24"/>
        </w:rPr>
      </w:pPr>
      <w:r>
        <w:rPr>
          <w:sz w:val="24"/>
        </w:rPr>
        <w:t>For the promises contained in this Agreement and for other good and valuable consideration, the receipt and sufficiency of which are hereby acknowledged, ET Gas and ENA agree as follows:</w:t>
      </w:r>
    </w:p>
    <w:p>
      <w:pPr>
        <w:pStyle w:val="Normal"/>
        <w:jc w:val="both"/>
        <w:rPr>
          <w:sz w:val="24"/>
        </w:rPr>
      </w:pPr>
      <w:r>
        <w:rPr>
          <w:sz w:val="24"/>
        </w:rPr>
      </w:r>
    </w:p>
    <w:p>
      <w:pPr>
        <w:pStyle w:val="Normal"/>
        <w:numPr>
          <w:ilvl w:val="0"/>
          <w:numId w:val="4"/>
        </w:numPr>
        <w:jc w:val="both"/>
        <w:rPr>
          <w:sz w:val="24"/>
        </w:rPr>
      </w:pPr>
      <w:r>
        <w:rPr>
          <w:sz w:val="24"/>
          <w:u w:val="single"/>
        </w:rPr>
        <w:t>Defined Terms</w:t>
      </w:r>
      <w:r>
        <w:rPr>
          <w:sz w:val="24"/>
        </w:rPr>
        <w:t>.  Capitalized terms used but not defined herein shall have the respective meanings given them in the Master Netting Agreement.</w:t>
      </w:r>
    </w:p>
    <w:p>
      <w:pPr>
        <w:pStyle w:val="Normal"/>
        <w:ind w:start="720" w:end="0"/>
        <w:jc w:val="both"/>
        <w:rPr>
          <w:sz w:val="24"/>
        </w:rPr>
      </w:pPr>
      <w:r>
        <w:rPr>
          <w:sz w:val="24"/>
        </w:rPr>
      </w:r>
    </w:p>
    <w:p>
      <w:pPr>
        <w:pStyle w:val="Normal"/>
        <w:numPr>
          <w:ilvl w:val="0"/>
          <w:numId w:val="4"/>
        </w:numPr>
        <w:jc w:val="both"/>
        <w:rPr>
          <w:sz w:val="24"/>
        </w:rPr>
      </w:pPr>
      <w:r>
        <w:rPr>
          <w:sz w:val="24"/>
          <w:u w:val="single"/>
        </w:rPr>
        <w:t>Release of Initial Pipeline Capacity to ENA; Spread Value</w:t>
      </w:r>
      <w:r>
        <w:rPr>
          <w:sz w:val="24"/>
        </w:rPr>
        <w:t xml:space="preserve">.  (a) As soon as possible but in any event not later </w:t>
      </w:r>
      <w:del w:id="35" w:author="Peter Meier" w:date="2001-04-18T12:10:00Z">
        <w:r>
          <w:rPr>
            <w:sz w:val="24"/>
          </w:rPr>
          <w:delText xml:space="preserve"> </w:delText>
        </w:r>
      </w:del>
      <w:r>
        <w:rPr>
          <w:sz w:val="24"/>
        </w:rPr>
        <w:t xml:space="preserve">than 5:00 p.m. prevailing Houston time on </w:t>
      </w:r>
      <w:del w:id="36" w:author="Peter Meier" w:date="2001-04-18T12:10:00Z">
        <w:r>
          <w:rPr>
            <w:sz w:val="24"/>
          </w:rPr>
          <w:delText xml:space="preserve">Tuesday, </w:delText>
        </w:r>
      </w:del>
      <w:r>
        <w:rPr>
          <w:sz w:val="24"/>
        </w:rPr>
        <w:t xml:space="preserve">April </w:t>
      </w:r>
      <w:del w:id="37" w:author="Peter Meier" w:date="2001-04-18T12:10:00Z">
        <w:r>
          <w:rPr>
            <w:sz w:val="24"/>
          </w:rPr>
          <w:delText>17</w:delText>
        </w:r>
      </w:del>
      <w:ins w:id="38" w:author="Peter Meier" w:date="2001-04-18T12:10:00Z">
        <w:r>
          <w:rPr>
            <w:sz w:val="24"/>
          </w:rPr>
          <w:t>__</w:t>
        </w:r>
      </w:ins>
      <w:r>
        <w:rPr>
          <w:sz w:val="24"/>
        </w:rPr>
        <w:t xml:space="preserve">, 2001, ET Gas shall cause the Initial Pipeline Capacity to be transferred to ENA pursuant to </w:t>
      </w:r>
      <w:del w:id="39" w:author="Peter Meier" w:date="2001-04-18T13:04:00Z">
        <w:r>
          <w:rPr>
            <w:sz w:val="24"/>
          </w:rPr>
          <w:delText xml:space="preserve">the </w:delText>
        </w:r>
      </w:del>
      <w:del w:id="40" w:author="Peter Meier" w:date="2001-04-18T12:10:00Z">
        <w:r>
          <w:rPr>
            <w:sz w:val="24"/>
          </w:rPr>
          <w:delText>terms</w:delText>
        </w:r>
      </w:del>
      <w:ins w:id="41" w:author="Peter Meier" w:date="2001-04-18T13:04:00Z">
        <w:r>
          <w:rPr>
            <w:sz w:val="24"/>
          </w:rPr>
          <w:t>a</w:t>
        </w:r>
      </w:ins>
      <w:ins w:id="42" w:author="Peter Meier" w:date="2001-04-18T13:13:00Z">
        <w:r>
          <w:rPr>
            <w:sz w:val="24"/>
          </w:rPr>
          <w:t xml:space="preserve"> </w:t>
        </w:r>
      </w:ins>
      <w:del w:id="43" w:author="Peter Meier" w:date="2001-04-18T12:10:00Z">
        <w:r>
          <w:rPr>
            <w:sz w:val="24"/>
          </w:rPr>
          <w:delText xml:space="preserve"> of the </w:delText>
        </w:r>
      </w:del>
      <w:r>
        <w:rPr>
          <w:sz w:val="24"/>
        </w:rPr>
        <w:t>Transfer Notice</w:t>
      </w:r>
      <w:ins w:id="44" w:author="Peter Meier" w:date="2001-04-18T13:04:00Z">
        <w:r>
          <w:rPr>
            <w:sz w:val="24"/>
          </w:rPr>
          <w:t xml:space="preserve"> (the “Initial Release”)</w:t>
        </w:r>
      </w:ins>
      <w:r>
        <w:rPr>
          <w:sz w:val="24"/>
        </w:rPr>
        <w:t>.</w:t>
      </w:r>
      <w:ins w:id="45" w:author="Peter Meier" w:date="2001-04-18T13:04:00Z">
        <w:r>
          <w:rPr>
            <w:sz w:val="24"/>
          </w:rPr>
          <w:t xml:space="preserve">  The Initial Release shall be for the period through March 31, 200</w:t>
        </w:r>
      </w:ins>
      <w:ins w:id="46" w:author="Peter Meier" w:date="2001-04-18T14:26:00Z">
        <w:r>
          <w:rPr>
            <w:sz w:val="24"/>
          </w:rPr>
          <w:t>3</w:t>
        </w:r>
      </w:ins>
      <w:ins w:id="47" w:author="Peter Meier" w:date="2001-04-18T13:04:00Z">
        <w:r>
          <w:rPr>
            <w:sz w:val="24"/>
          </w:rPr>
          <w:t xml:space="preserve">.  The period of subsequent releases hereunder shall be as set forth below.  The Initial Release and all subsequent releases hereunder, unless otherwise agreed to by both ENA and ET Gas, shall be for the maximum reservation charge(s) and reservation surcharge(s) charged by El Paso applicable to the Pipeline Capacity </w:t>
        </w:r>
      </w:ins>
      <w:ins w:id="48" w:author="Peter Meier" w:date="2001-04-18T13:06:00Z">
        <w:r>
          <w:rPr>
            <w:sz w:val="24"/>
          </w:rPr>
          <w:t>being released.</w:t>
        </w:r>
      </w:ins>
      <w:r>
        <w:rPr>
          <w:sz w:val="24"/>
        </w:rPr>
        <w:t xml:space="preserve">  As soon as El Paso recognizes ENA to be the Acquiring Shipper (as such term is defined in El Paso’s Tariff) as to the Initial Pipeline Capacity (the “Release Effective Date”), ET Gas shall be entitled to apply</w:t>
      </w:r>
      <w:ins w:id="49" w:author="Peter Meier" w:date="2001-04-18T13:07:00Z">
        <w:r>
          <w:rPr>
            <w:sz w:val="24"/>
          </w:rPr>
          <w:t>, and ENA shall apply,</w:t>
        </w:r>
      </w:ins>
      <w:r>
        <w:rPr>
          <w:sz w:val="24"/>
        </w:rPr>
        <w:t xml:space="preserve"> the Spread Value to the satisfaction of </w:t>
      </w:r>
      <w:del w:id="50" w:author="Peter Meier" w:date="2001-04-18T13:08:00Z">
        <w:r>
          <w:rPr>
            <w:sz w:val="24"/>
          </w:rPr>
          <w:delText xml:space="preserve">its </w:delText>
        </w:r>
      </w:del>
      <w:ins w:id="51" w:author="Peter Meier" w:date="2001-04-18T13:08:00Z">
        <w:r>
          <w:rPr>
            <w:sz w:val="24"/>
          </w:rPr>
          <w:t xml:space="preserve">the PG&amp;E Parties’ </w:t>
        </w:r>
      </w:ins>
      <w:r>
        <w:rPr>
          <w:sz w:val="24"/>
        </w:rPr>
        <w:t>margin requirement under the ISDA Agreement and the Master Netting Agreement.</w:t>
      </w:r>
      <w:ins w:id="52" w:author="Peter Meier" w:date="2001-04-18T13:04:00Z">
        <w:r>
          <w:rPr>
            <w:sz w:val="24"/>
          </w:rPr>
          <w:t xml:space="preserve">  </w:t>
        </w:r>
      </w:ins>
    </w:p>
    <w:p>
      <w:pPr>
        <w:pStyle w:val="Normal"/>
        <w:jc w:val="both"/>
        <w:rPr>
          <w:sz w:val="24"/>
        </w:rPr>
      </w:pPr>
      <w:r>
        <w:rPr>
          <w:sz w:val="24"/>
        </w:rPr>
      </w:r>
    </w:p>
    <w:p>
      <w:pPr>
        <w:pStyle w:val="Normal"/>
        <w:ind w:start="1080" w:end="0"/>
        <w:jc w:val="both"/>
        <w:rPr/>
      </w:pPr>
      <w:r>
        <w:rPr>
          <w:sz w:val="24"/>
          <w:rPrChange w:id="0" w:author="Peter Meier" w:date="2001-04-18T12:10:00Z"/>
        </w:rPr>
        <w:t>(b) ENA and ET Gas expressly acknowledge and agree that</w:t>
      </w:r>
      <w:r>
        <w:rPr>
          <w:sz w:val="24"/>
          <w:u w:val="single"/>
        </w:rPr>
        <w:t xml:space="preserve"> </w:t>
      </w:r>
      <w:r>
        <w:rPr>
          <w:sz w:val="24"/>
        </w:rPr>
        <w:t>the Spread Value shall constitute acceptable collateral for the obligations of the PG&amp;E Parties under the ISDA Agreement and the Master Netting Agreement, including without limitation “Eligible Collateral” under the ISDA Agreement, and shall be credited against the amount of collateral that the PG&amp;E Parties may be obligated to provide to the Enron Parties under the Master Netting Agreement and the ISDA Agreement, notwithstanding anything in those Agreements to the contrary.</w:t>
      </w:r>
    </w:p>
    <w:p>
      <w:pPr>
        <w:pStyle w:val="Normal"/>
        <w:ind w:start="1080" w:end="0"/>
        <w:jc w:val="both"/>
        <w:rPr>
          <w:sz w:val="24"/>
        </w:rPr>
      </w:pPr>
      <w:r>
        <w:rPr>
          <w:sz w:val="24"/>
        </w:rPr>
      </w:r>
    </w:p>
    <w:p>
      <w:pPr>
        <w:pStyle w:val="BodyTextIndent3"/>
        <w:rPr>
          <w:color w:val="0000FF"/>
        </w:rPr>
      </w:pPr>
      <w:r>
        <w:rPr/>
        <w:t>(c) Within one business day</w:t>
      </w:r>
      <w:del w:id="54" w:author="Peter Meier" w:date="2001-04-18T12:11:00Z">
        <w:r>
          <w:rPr/>
          <w:delText>s</w:delText>
        </w:r>
      </w:del>
      <w:r>
        <w:rPr/>
        <w:t xml:space="preserve"> of the Release Effective Date, ENA shall calculate the value of all collateral provided by the PG&amp;E Parties to the Enron Parties under the Underlying Master Agreements and the Master Netting Agreement, including cash, the PG&amp;E Guaranty Agreement, the Spread Value, and any offsetting positions, and if the value of the collateral provided exceeds the value of the collateral required, the Enron Parties shall return the excess in immediately available funds up to $30 million, and any further excess shall be </w:t>
      </w:r>
      <w:ins w:id="55" w:author="Peter Meier" w:date="2001-04-18T12:11:00Z">
        <w:r>
          <w:rPr/>
          <w:t>treated as collateral under the terms of the ISDA Agreement and the Master Netting Agreement</w:t>
        </w:r>
      </w:ins>
      <w:del w:id="56" w:author="Peter Meier" w:date="2001-04-18T12:12:00Z">
        <w:r>
          <w:rPr/>
          <w:delText>available to the PG&amp;E Parties as additional trading margin</w:delText>
        </w:r>
      </w:del>
      <w:r>
        <w:rPr/>
        <w:t xml:space="preserve">.  The foregoing determination of the value of collateral shall be made as of the date specified and shall be without prejudice to any party thereafter to seek additional collateral or the return of collateral in accordance with the terms of the Underlying Master Agreements, the Master Netting Agreement and this </w:t>
      </w:r>
      <w:r>
        <w:rPr>
          <w:color w:val="000000"/>
        </w:rPr>
        <w:t>Agreemen</w:t>
      </w:r>
      <w:del w:id="57" w:author="lmellen" w:date="2001-04-18T16:03:00Z">
        <w:r>
          <w:rPr>
            <w:color w:val="000000"/>
          </w:rPr>
          <w:delText>t</w:delText>
        </w:r>
      </w:del>
      <w:del w:id="58" w:author="lmellen" w:date="2001-04-18T16:03:00Z">
        <w:r>
          <w:rPr/>
          <w:delText>.</w:delText>
        </w:r>
      </w:del>
      <w:ins w:id="59" w:author="lmellen" w:date="2001-04-18T16:24:00Z">
        <w:r>
          <w:rPr>
            <w:color w:val="0000FF"/>
          </w:rPr>
          <w:t>, provided that any subsequent return</w:t>
        </w:r>
      </w:ins>
      <w:ins w:id="60" w:author="lmellen" w:date="2001-04-18T16:28:00Z">
        <w:r>
          <w:rPr>
            <w:color w:val="0000FF"/>
          </w:rPr>
          <w:t>(s)</w:t>
        </w:r>
      </w:ins>
      <w:ins w:id="61" w:author="lmellen" w:date="2001-04-18T16:24:00Z">
        <w:r>
          <w:rPr>
            <w:color w:val="0000FF"/>
          </w:rPr>
          <w:t xml:space="preserve"> of any excess collateral shall first be of </w:t>
        </w:r>
      </w:ins>
      <w:ins w:id="62" w:author="lmellen" w:date="2001-04-18T16:26:00Z">
        <w:r>
          <w:rPr>
            <w:color w:val="0000FF"/>
          </w:rPr>
          <w:t xml:space="preserve">Pipeline Capacity and then of cash posted as collateral under the Master Netting Agreement. </w:t>
        </w:r>
      </w:ins>
    </w:p>
    <w:p>
      <w:pPr>
        <w:pStyle w:val="Normal"/>
        <w:jc w:val="both"/>
        <w:rPr>
          <w:color w:val="0000FF"/>
          <w:sz w:val="24"/>
        </w:rPr>
      </w:pPr>
      <w:r>
        <w:rPr>
          <w:color w:val="0000FF"/>
          <w:sz w:val="24"/>
        </w:rPr>
      </w:r>
    </w:p>
    <w:p>
      <w:pPr>
        <w:pStyle w:val="Normal"/>
        <w:numPr>
          <w:ilvl w:val="0"/>
          <w:numId w:val="4"/>
        </w:numPr>
        <w:spacing w:before="0" w:after="120"/>
        <w:jc w:val="both"/>
        <w:rPr>
          <w:sz w:val="24"/>
          <w:ins w:id="96" w:author="Peter Meier" w:date="2001-04-18T12:18:00Z"/>
        </w:rPr>
      </w:pPr>
      <w:del w:id="63" w:author="Peter Meier" w:date="2001-04-18T12:12:00Z">
        <w:r>
          <w:rPr>
            <w:sz w:val="24"/>
            <w:u w:val="single"/>
          </w:rPr>
          <w:delText xml:space="preserve">Recall </w:delText>
        </w:r>
      </w:del>
      <w:ins w:id="64" w:author="Peter Meier" w:date="2001-04-18T12:12:00Z">
        <w:r>
          <w:rPr>
            <w:sz w:val="24"/>
            <w:u w:val="single"/>
          </w:rPr>
          <w:t xml:space="preserve">Release </w:t>
        </w:r>
      </w:ins>
      <w:r>
        <w:rPr>
          <w:sz w:val="24"/>
          <w:u w:val="single"/>
        </w:rPr>
        <w:t xml:space="preserve">of Capacity for </w:t>
      </w:r>
      <w:del w:id="65" w:author="Peter Meier" w:date="2001-04-18T12:57:00Z">
        <w:r>
          <w:rPr>
            <w:sz w:val="24"/>
            <w:u w:val="single"/>
          </w:rPr>
          <w:delText xml:space="preserve">Monthly </w:delText>
        </w:r>
      </w:del>
      <w:ins w:id="66" w:author="Peter Meier" w:date="2001-04-18T12:57:00Z">
        <w:r>
          <w:rPr>
            <w:sz w:val="24"/>
            <w:u w:val="single"/>
          </w:rPr>
          <w:t xml:space="preserve">Less </w:t>
        </w:r>
      </w:ins>
      <w:ins w:id="67" w:author="Peter Meier" w:date="2001-04-18T13:13:00Z">
        <w:r>
          <w:rPr>
            <w:sz w:val="24"/>
            <w:u w:val="single"/>
          </w:rPr>
          <w:t>than</w:t>
        </w:r>
      </w:ins>
      <w:ins w:id="68" w:author="Peter Meier" w:date="2001-04-18T12:57:00Z">
        <w:r>
          <w:rPr>
            <w:sz w:val="24"/>
            <w:u w:val="single"/>
          </w:rPr>
          <w:t xml:space="preserve"> the Full Term</w:t>
        </w:r>
      </w:ins>
      <w:del w:id="69" w:author="Peter Meier" w:date="2001-04-18T12:57:00Z">
        <w:r>
          <w:rPr>
            <w:sz w:val="24"/>
            <w:u w:val="single"/>
          </w:rPr>
          <w:delText>Use</w:delText>
        </w:r>
      </w:del>
      <w:r>
        <w:rPr>
          <w:sz w:val="24"/>
        </w:rPr>
        <w:t xml:space="preserve">.  (a) If on May 25, 2001 and thereafter if on the fifth business day prior to the last day of any subsequent month occurring during the term of this Agreement (hereafter collectively an “Exercise Date”) </w:t>
      </w:r>
      <w:del w:id="70" w:author="lmellen" w:date="2001-04-18T18:29:00Z">
        <w:r>
          <w:rPr>
            <w:sz w:val="24"/>
          </w:rPr>
          <w:delText>either (i) a Default does not exist</w:delText>
        </w:r>
      </w:del>
      <w:del w:id="71" w:author="lmellen" w:date="2001-04-18T17:19:00Z">
        <w:r>
          <w:rPr>
            <w:sz w:val="24"/>
          </w:rPr>
          <w:delText>s</w:delText>
        </w:r>
      </w:del>
      <w:del w:id="72" w:author="lmellen" w:date="2001-04-18T18:29:00Z">
        <w:r>
          <w:rPr>
            <w:sz w:val="24"/>
          </w:rPr>
          <w:delText xml:space="preserve"> with respect to any of the PG&amp;E Parties under the Master Netting</w:delText>
        </w:r>
      </w:del>
      <w:del w:id="73" w:author="lmellen" w:date="2001-04-18T18:29:00Z">
        <w:r>
          <w:rPr>
            <w:b/>
            <w:sz w:val="24"/>
          </w:rPr>
          <w:delText xml:space="preserve"> </w:delText>
        </w:r>
      </w:del>
      <w:del w:id="74" w:author="lmellen" w:date="2001-04-18T18:29:00Z">
        <w:r>
          <w:rPr>
            <w:sz w:val="24"/>
          </w:rPr>
          <w:delText>Agreement (other than a Non-Triggering Default as defined below) or (ii) a Default exists but</w:delText>
        </w:r>
      </w:del>
      <w:r>
        <w:rPr>
          <w:sz w:val="24"/>
        </w:rPr>
        <w:t xml:space="preserve"> </w:t>
      </w:r>
      <w:ins w:id="75" w:author="lmellen" w:date="2001-04-18T18:36:00Z">
        <w:r>
          <w:rPr>
            <w:sz w:val="24"/>
          </w:rPr>
          <w:t>(I think that the following is really the relevant part when we draw back and read and I got worried about whose default it might be etc.)</w:t>
        </w:r>
      </w:ins>
      <w:r>
        <w:rPr>
          <w:sz w:val="24"/>
        </w:rPr>
        <w:t>ENA has not accelerated, terminated, liquidated, cancelled or otherwise closed out or set-off or netted or exercised a similar remedy against some portion or all of the Gas Transactions</w:t>
      </w:r>
      <w:del w:id="76" w:author="Peter Meier" w:date="2001-04-18T12:13:00Z">
        <w:r>
          <w:rPr>
            <w:i/>
            <w:sz w:val="24"/>
          </w:rPr>
          <w:delText xml:space="preserve"> [we agreed to this concept in Section 6, but it seemed to make more sense up in this Section]</w:delText>
        </w:r>
      </w:del>
      <w:r>
        <w:rPr>
          <w:sz w:val="24"/>
        </w:rPr>
        <w:t xml:space="preserve">, ET Gas shall be entitled to </w:t>
      </w:r>
      <w:ins w:id="77" w:author="Peter Meier" w:date="2001-04-18T12:13:00Z">
        <w:r>
          <w:rPr>
            <w:sz w:val="24"/>
          </w:rPr>
          <w:t xml:space="preserve">direct ENA to release, and ENA shall release, to ET Gas or </w:t>
        </w:r>
      </w:ins>
      <w:ins w:id="78" w:author="Peter Meier" w:date="2001-04-18T12:15:00Z">
        <w:r>
          <w:rPr>
            <w:sz w:val="24"/>
          </w:rPr>
          <w:t>the</w:t>
        </w:r>
      </w:ins>
      <w:ins w:id="79" w:author="Peter Meier" w:date="2001-04-18T12:13:00Z">
        <w:r>
          <w:rPr>
            <w:sz w:val="24"/>
          </w:rPr>
          <w:t xml:space="preserve"> Designee</w:t>
        </w:r>
      </w:ins>
      <w:del w:id="80" w:author="Peter Meier" w:date="2001-04-18T12:13:00Z">
        <w:r>
          <w:rPr>
            <w:sz w:val="24"/>
          </w:rPr>
          <w:delText>recall</w:delText>
        </w:r>
      </w:del>
      <w:r>
        <w:rPr>
          <w:sz w:val="24"/>
        </w:rPr>
        <w:t xml:space="preserve"> all (but not less than all) of the Pipeline Capacity for a term to commence the beginning of the first gas day of the next following calendar month and ending at the end of the last gas day of such month.  So long as consist</w:t>
      </w:r>
      <w:ins w:id="81" w:author="Peter Meier" w:date="2001-04-18T12:14:00Z">
        <w:r>
          <w:rPr>
            <w:sz w:val="24"/>
          </w:rPr>
          <w:t>ent</w:t>
        </w:r>
      </w:ins>
      <w:r>
        <w:rPr>
          <w:sz w:val="24"/>
        </w:rPr>
        <w:t xml:space="preserve"> with the terms of this Agreement </w:t>
      </w:r>
      <w:del w:id="82" w:author="lmellen" w:date="2001-04-18T18:34:00Z">
        <w:r>
          <w:rPr>
            <w:sz w:val="24"/>
          </w:rPr>
          <w:delText>and the Transfer Notice</w:delText>
        </w:r>
      </w:del>
      <w:r>
        <w:rPr>
          <w:sz w:val="24"/>
        </w:rPr>
        <w:t xml:space="preserve">, ENA shall cooperate with ET Gas </w:t>
      </w:r>
      <w:ins w:id="83" w:author="Peter Meier" w:date="2001-04-18T12:14:00Z">
        <w:r>
          <w:rPr>
            <w:sz w:val="24"/>
          </w:rPr>
          <w:t>and</w:t>
        </w:r>
      </w:ins>
      <w:ins w:id="84" w:author="lmellen" w:date="2001-04-18T18:37:00Z">
        <w:r>
          <w:rPr>
            <w:sz w:val="24"/>
          </w:rPr>
          <w:t>/or</w:t>
        </w:r>
      </w:ins>
      <w:ins w:id="85" w:author="Peter Meier" w:date="2001-04-18T12:14:00Z">
        <w:r>
          <w:rPr>
            <w:sz w:val="24"/>
          </w:rPr>
          <w:t xml:space="preserve"> the Designee </w:t>
        </w:r>
      </w:ins>
      <w:r>
        <w:rPr>
          <w:sz w:val="24"/>
        </w:rPr>
        <w:t xml:space="preserve">to take such actions as are </w:t>
      </w:r>
      <w:ins w:id="86" w:author="lmellen" w:date="2001-04-18T16:28:00Z">
        <w:r>
          <w:rPr>
            <w:sz w:val="24"/>
          </w:rPr>
          <w:t xml:space="preserve">reasonably </w:t>
        </w:r>
      </w:ins>
      <w:r>
        <w:rPr>
          <w:sz w:val="24"/>
        </w:rPr>
        <w:t xml:space="preserve">necessary to effectuate the </w:t>
      </w:r>
      <w:del w:id="87" w:author="Peter Meier" w:date="2001-04-18T12:14:00Z">
        <w:r>
          <w:rPr>
            <w:sz w:val="24"/>
          </w:rPr>
          <w:delText xml:space="preserve">recall </w:delText>
        </w:r>
      </w:del>
      <w:ins w:id="88" w:author="Peter Meier" w:date="2001-04-18T12:14:00Z">
        <w:r>
          <w:rPr>
            <w:sz w:val="24"/>
          </w:rPr>
          <w:t xml:space="preserve">release </w:t>
        </w:r>
      </w:ins>
      <w:r>
        <w:rPr>
          <w:sz w:val="24"/>
        </w:rPr>
        <w:t>of the Pipeline Capacity (including without limitation issuing the necessary instruction to El Paso to release the Pipeline Capacity to ET Gas</w:t>
      </w:r>
      <w:ins w:id="89" w:author="Peter Meier" w:date="2001-04-18T12:14:00Z">
        <w:r>
          <w:rPr>
            <w:sz w:val="24"/>
          </w:rPr>
          <w:t xml:space="preserve"> or the Designee</w:t>
        </w:r>
      </w:ins>
      <w:ins w:id="90" w:author="lmellen" w:date="2001-04-18T18:35:00Z">
        <w:r>
          <w:rPr>
            <w:sz w:val="24"/>
          </w:rPr>
          <w:t xml:space="preserve"> as a pre-arranged release without any rights of recall by ENA</w:t>
        </w:r>
      </w:ins>
      <w:r>
        <w:rPr>
          <w:sz w:val="24"/>
        </w:rPr>
        <w:t xml:space="preserve">). </w:t>
      </w:r>
      <w:del w:id="91" w:author="lmellen" w:date="2001-04-18T18:35:00Z">
        <w:r>
          <w:rPr>
            <w:sz w:val="24"/>
          </w:rPr>
          <w:delText xml:space="preserve"> To the extent not addressed in the Transfer Notice, t</w:delText>
        </w:r>
      </w:del>
      <w:ins w:id="92" w:author="lmellen" w:date="2001-04-18T18:35:00Z">
        <w:r>
          <w:rPr>
            <w:sz w:val="24"/>
          </w:rPr>
          <w:t>T</w:t>
        </w:r>
      </w:ins>
      <w:r>
        <w:rPr>
          <w:sz w:val="24"/>
        </w:rPr>
        <w:t xml:space="preserve">he parties shall establish a procedure and schedule so that each </w:t>
      </w:r>
      <w:ins w:id="93" w:author="lmellen" w:date="2001-04-18T18:35:00Z">
        <w:r>
          <w:rPr>
            <w:sz w:val="24"/>
          </w:rPr>
          <w:t xml:space="preserve">such </w:t>
        </w:r>
      </w:ins>
      <w:r>
        <w:rPr>
          <w:sz w:val="24"/>
        </w:rPr>
        <w:t xml:space="preserve">Pipeline Capacity </w:t>
      </w:r>
      <w:del w:id="94" w:author="Peter Meier" w:date="2001-04-18T12:15:00Z">
        <w:r>
          <w:rPr>
            <w:sz w:val="24"/>
          </w:rPr>
          <w:delText xml:space="preserve">recall </w:delText>
        </w:r>
      </w:del>
      <w:ins w:id="95" w:author="Peter Meier" w:date="2001-04-18T12:15:00Z">
        <w:r>
          <w:rPr>
            <w:sz w:val="24"/>
          </w:rPr>
          <w:t xml:space="preserve">release </w:t>
        </w:r>
      </w:ins>
      <w:r>
        <w:rPr>
          <w:sz w:val="24"/>
        </w:rPr>
        <w:t xml:space="preserve">is undertaken in a timely manner consistent with the applicable El Paso Tariff provisions. </w:t>
      </w:r>
    </w:p>
    <w:p>
      <w:pPr>
        <w:pStyle w:val="Normal"/>
        <w:spacing w:before="0" w:after="120"/>
        <w:ind w:start="1080" w:end="0"/>
        <w:jc w:val="both"/>
        <w:rPr>
          <w:ins w:id="101" w:author="Peter Meier" w:date="2001-04-18T12:18:00Z"/>
        </w:rPr>
      </w:pPr>
      <w:ins w:id="97" w:author="Peter Meier" w:date="2001-04-18T12:18:00Z">
        <w:r>
          <w:rPr>
            <w:i/>
            <w:sz w:val="24"/>
          </w:rPr>
          <w:t>[The following paragraph did not change in any way.  It is blacklined only because I made it a separate paragraph]</w:t>
        </w:r>
      </w:ins>
      <w:ins w:id="98" w:author="Peter Meier" w:date="2001-04-18T12:18:00Z">
        <w:r>
          <w:rPr>
            <w:sz w:val="24"/>
          </w:rPr>
          <w:t xml:space="preserve">(b) </w:t>
        </w:r>
      </w:ins>
      <w:ins w:id="99" w:author="lmellen" w:date="2001-04-18T18:43:00Z">
        <w:r>
          <w:rPr>
            <w:sz w:val="24"/>
          </w:rPr>
          <w:t xml:space="preserve">(I’d move down to where we will now first use) </w:t>
        </w:r>
      </w:ins>
      <w:ins w:id="100" w:author="Peter Meier" w:date="2001-04-18T12:18:00Z">
        <w:r>
          <w:rPr>
            <w:sz w:val="24"/>
          </w:rPr>
          <w:t>For purposes or this Agreement, the term “Non-Triggering Default” shall mean a Default under an Underlying Master Agreement  which meets each of the following criteria: (i) the Default does not relate to or arise with respect to the Gas Transactions, (ii) the PG&amp;E Parties dispute in good faith ENA’s basis for claiming that the Default exists, (iii) the amount of direct damages claimed by ENA as a result of the Default does not exceed $10 million, and (iv) the Enron Parties have not accelerated, terminated, liquidated, cancelled or otherwise closed out or cross-defaulted one or more Transactions in accordance with the terms of the Master Netting Agreement.</w:t>
        </w:r>
      </w:ins>
    </w:p>
    <w:p>
      <w:pPr>
        <w:pStyle w:val="Normal"/>
        <w:numPr>
          <w:ilvl w:val="0"/>
          <w:numId w:val="4"/>
        </w:numPr>
        <w:spacing w:before="0" w:after="120"/>
        <w:jc w:val="both"/>
        <w:rPr>
          <w:sz w:val="24"/>
        </w:rPr>
      </w:pPr>
      <w:del w:id="102" w:author="Peter Meier" w:date="2001-04-18T13:12:00Z">
        <w:r>
          <w:rPr>
            <w:sz w:val="24"/>
            <w:u w:val="single"/>
          </w:rPr>
          <w:delText xml:space="preserve">Permanent </w:delText>
        </w:r>
      </w:del>
      <w:del w:id="103" w:author="Peter Meier" w:date="2001-04-18T12:56:00Z">
        <w:r>
          <w:rPr>
            <w:sz w:val="24"/>
            <w:u w:val="single"/>
          </w:rPr>
          <w:delText xml:space="preserve">Recall </w:delText>
        </w:r>
      </w:del>
      <w:ins w:id="104" w:author="Peter Meier" w:date="2001-04-18T12:56:00Z">
        <w:r>
          <w:rPr>
            <w:sz w:val="24"/>
            <w:u w:val="single"/>
          </w:rPr>
          <w:t xml:space="preserve">Release </w:t>
        </w:r>
      </w:ins>
      <w:r>
        <w:rPr>
          <w:sz w:val="24"/>
          <w:u w:val="single"/>
        </w:rPr>
        <w:t>of Gas</w:t>
      </w:r>
      <w:ins w:id="105" w:author="Peter Meier" w:date="2001-04-18T13:12:00Z">
        <w:r>
          <w:rPr>
            <w:sz w:val="24"/>
            <w:u w:val="single"/>
          </w:rPr>
          <w:t xml:space="preserve"> In Excess of Collateral Requirements</w:t>
        </w:r>
      </w:ins>
      <w:r>
        <w:rPr>
          <w:sz w:val="24"/>
        </w:rPr>
        <w:t>.  On any Exercise Date, provided that a Default does not exist with respect any of the PG&amp;E Parties under the Master Netting Agreement, if the value of the collateral provided by the PG&amp;E Parties under the Underlying Master Agreements and the Master Netting Agreement</w:t>
      </w:r>
      <w:ins w:id="106" w:author="Peter Meier" w:date="2001-04-18T13:12:00Z">
        <w:r>
          <w:rPr>
            <w:sz w:val="24"/>
          </w:rPr>
          <w:t xml:space="preserve"> </w:t>
        </w:r>
      </w:ins>
      <w:r>
        <w:rPr>
          <w:sz w:val="24"/>
        </w:rPr>
        <w:t xml:space="preserve">(which shall include the Spread Value) exceeds the value of collateral required to be provided by the PG&amp;E Parties in accordance with the Underlying Master Agreements and the Master Netting Agreement (such difference hereafter referred to as the “Excess Collateral Value”), then on such Exercise Date ET Gas shall be entitled to </w:t>
      </w:r>
      <w:ins w:id="107" w:author="Peter Meier" w:date="2001-04-18T12:33:00Z">
        <w:r>
          <w:rPr>
            <w:sz w:val="24"/>
          </w:rPr>
          <w:t xml:space="preserve">direct ENA to release, and ENA shall release, to ET Gas </w:t>
        </w:r>
      </w:ins>
      <w:ins w:id="108" w:author="lmellen" w:date="2001-04-18T18:40:00Z">
        <w:r>
          <w:rPr>
            <w:sz w:val="24"/>
          </w:rPr>
          <w:t>and/</w:t>
        </w:r>
      </w:ins>
      <w:ins w:id="109" w:author="Peter Meier" w:date="2001-04-18T12:33:00Z">
        <w:r>
          <w:rPr>
            <w:sz w:val="24"/>
          </w:rPr>
          <w:t xml:space="preserve">or the Designee </w:t>
        </w:r>
      </w:ins>
      <w:del w:id="110" w:author="Peter Meier" w:date="2001-04-18T12:33:00Z">
        <w:r>
          <w:rPr>
            <w:sz w:val="24"/>
          </w:rPr>
          <w:delText xml:space="preserve">recall </w:delText>
        </w:r>
      </w:del>
      <w:r>
        <w:rPr>
          <w:sz w:val="24"/>
        </w:rPr>
        <w:t xml:space="preserve">that portion of the Pipeline Capacity specified by ET Gas that equals or is less than the Excess Collateral Value; provided that such </w:t>
      </w:r>
      <w:del w:id="111" w:author="Peter Meier" w:date="2001-04-18T12:34:00Z">
        <w:r>
          <w:rPr>
            <w:sz w:val="24"/>
          </w:rPr>
          <w:delText>permanent recall</w:delText>
        </w:r>
      </w:del>
      <w:ins w:id="112" w:author="Peter Meier" w:date="2001-04-18T12:34:00Z">
        <w:r>
          <w:rPr>
            <w:sz w:val="24"/>
          </w:rPr>
          <w:t>release</w:t>
        </w:r>
      </w:ins>
      <w:r>
        <w:rPr>
          <w:sz w:val="24"/>
        </w:rPr>
        <w:t xml:space="preserve"> may only be made effective beginning the first gas day of the next following calendar month for the remaining  term of the Pipeline Capacity that is being </w:t>
      </w:r>
      <w:del w:id="113" w:author="Peter Meier" w:date="2001-04-18T12:34:00Z">
        <w:r>
          <w:rPr>
            <w:sz w:val="24"/>
          </w:rPr>
          <w:delText>permanently recalled</w:delText>
        </w:r>
      </w:del>
      <w:ins w:id="114" w:author="Peter Meier" w:date="2001-04-18T12:34:00Z">
        <w:r>
          <w:rPr>
            <w:sz w:val="24"/>
          </w:rPr>
          <w:t>released</w:t>
        </w:r>
      </w:ins>
      <w:r>
        <w:rPr>
          <w:sz w:val="24"/>
        </w:rPr>
        <w:t xml:space="preserve">.  So long as the </w:t>
      </w:r>
      <w:del w:id="115" w:author="Peter Meier" w:date="2001-04-18T12:34:00Z">
        <w:r>
          <w:rPr>
            <w:sz w:val="24"/>
          </w:rPr>
          <w:delText xml:space="preserve">recall </w:delText>
        </w:r>
      </w:del>
      <w:ins w:id="116" w:author="Peter Meier" w:date="2001-04-18T12:34:00Z">
        <w:r>
          <w:rPr>
            <w:sz w:val="24"/>
          </w:rPr>
          <w:t xml:space="preserve">release </w:t>
        </w:r>
      </w:ins>
      <w:r>
        <w:rPr>
          <w:sz w:val="24"/>
        </w:rPr>
        <w:t xml:space="preserve">is consistent with the terms of this Agreement </w:t>
      </w:r>
      <w:del w:id="117" w:author="lmellen" w:date="2001-04-18T18:40:00Z">
        <w:r>
          <w:rPr>
            <w:sz w:val="24"/>
          </w:rPr>
          <w:delText>and the Transfer Notice</w:delText>
        </w:r>
      </w:del>
      <w:r>
        <w:rPr>
          <w:sz w:val="24"/>
        </w:rPr>
        <w:t xml:space="preserve">, ENA shall cooperate with ET Gas to take such actions as are </w:t>
      </w:r>
      <w:ins w:id="118" w:author="lmellen" w:date="2001-04-18T18:41:00Z">
        <w:r>
          <w:rPr>
            <w:sz w:val="24"/>
          </w:rPr>
          <w:t xml:space="preserve">reasonably </w:t>
        </w:r>
      </w:ins>
      <w:r>
        <w:rPr>
          <w:sz w:val="24"/>
        </w:rPr>
        <w:t xml:space="preserve">necessary to effectuate the </w:t>
      </w:r>
      <w:del w:id="119" w:author="Peter Meier" w:date="2001-04-18T12:34:00Z">
        <w:r>
          <w:rPr>
            <w:sz w:val="24"/>
          </w:rPr>
          <w:delText>permanent recall</w:delText>
        </w:r>
      </w:del>
      <w:ins w:id="120" w:author="Peter Meier" w:date="2001-04-18T12:34:00Z">
        <w:r>
          <w:rPr>
            <w:sz w:val="24"/>
          </w:rPr>
          <w:t>release</w:t>
        </w:r>
      </w:ins>
      <w:r>
        <w:rPr>
          <w:sz w:val="24"/>
        </w:rPr>
        <w:t xml:space="preserve"> of the foregoing described quantity of Pipeline Capacity (including without limitation issuing the necessary instructions to El Paso to release the foregoing described quantity Pipeline Capacity to ET Gas for the remainder of the term thereof).  A Pipeline Capacity </w:t>
      </w:r>
      <w:del w:id="121" w:author="Peter Meier" w:date="2001-04-18T12:35:00Z">
        <w:r>
          <w:rPr>
            <w:sz w:val="24"/>
          </w:rPr>
          <w:delText xml:space="preserve">recall </w:delText>
        </w:r>
      </w:del>
      <w:ins w:id="122" w:author="Peter Meier" w:date="2001-04-18T12:35:00Z">
        <w:r>
          <w:rPr>
            <w:sz w:val="24"/>
          </w:rPr>
          <w:t xml:space="preserve">release </w:t>
        </w:r>
      </w:ins>
      <w:r>
        <w:rPr>
          <w:sz w:val="24"/>
        </w:rPr>
        <w:t xml:space="preserve">under this Section </w:t>
      </w:r>
      <w:del w:id="123" w:author="Peter Meier" w:date="2001-04-18T12:35:00Z">
        <w:r>
          <w:rPr>
            <w:sz w:val="24"/>
          </w:rPr>
          <w:delText xml:space="preserve">3 </w:delText>
        </w:r>
      </w:del>
      <w:ins w:id="124" w:author="Peter Meier" w:date="2001-04-18T12:35:00Z">
        <w:r>
          <w:rPr>
            <w:sz w:val="24"/>
          </w:rPr>
          <w:t xml:space="preserve">4 </w:t>
        </w:r>
      </w:ins>
      <w:r>
        <w:rPr>
          <w:sz w:val="24"/>
        </w:rPr>
        <w:t xml:space="preserve">shall be permanent and without further right of any kind to ENA or the other </w:t>
      </w:r>
      <w:del w:id="125" w:author="lmellen" w:date="2001-04-18T18:41:00Z">
        <w:r>
          <w:rPr>
            <w:sz w:val="24"/>
          </w:rPr>
          <w:delText>ENA</w:delText>
        </w:r>
      </w:del>
      <w:ins w:id="126" w:author="lmellen" w:date="2001-04-18T18:41:00Z">
        <w:r>
          <w:rPr>
            <w:sz w:val="24"/>
          </w:rPr>
          <w:t>Enron</w:t>
        </w:r>
      </w:ins>
      <w:r>
        <w:rPr>
          <w:sz w:val="24"/>
        </w:rPr>
        <w:t xml:space="preserve"> Parties. </w:t>
      </w:r>
    </w:p>
    <w:p>
      <w:pPr>
        <w:pStyle w:val="Normal"/>
        <w:numPr>
          <w:ilvl w:val="0"/>
          <w:numId w:val="4"/>
        </w:numPr>
        <w:spacing w:before="0" w:after="120"/>
        <w:jc w:val="both"/>
        <w:rPr>
          <w:b/>
          <w:sz w:val="24"/>
        </w:rPr>
      </w:pPr>
      <w:r>
        <w:rPr>
          <w:sz w:val="24"/>
          <w:u w:val="single"/>
        </w:rPr>
        <w:t>Spread Value as Collateral</w:t>
      </w:r>
      <w:r>
        <w:rPr>
          <w:sz w:val="24"/>
        </w:rPr>
        <w:t xml:space="preserve">.  For purposes of this Agreement, the term “Spread Value” shall mean the value calculated in accordance with the “Spread Value Determination Formula” set forth on Exhibit 4 hereto. </w:t>
      </w:r>
    </w:p>
    <w:p>
      <w:pPr>
        <w:pStyle w:val="Normal"/>
        <w:spacing w:before="0" w:after="120"/>
        <w:ind w:start="720" w:end="0"/>
        <w:jc w:val="both"/>
        <w:rPr>
          <w:b/>
          <w:sz w:val="24"/>
        </w:rPr>
      </w:pPr>
      <w:r>
        <w:rPr>
          <w:b/>
          <w:sz w:val="24"/>
        </w:rPr>
      </w:r>
    </w:p>
    <w:p>
      <w:pPr>
        <w:pStyle w:val="Normal"/>
        <w:numPr>
          <w:ilvl w:val="0"/>
          <w:numId w:val="4"/>
        </w:numPr>
        <w:jc w:val="both"/>
        <w:rPr>
          <w:sz w:val="24"/>
        </w:rPr>
      </w:pPr>
      <w:r>
        <w:rPr>
          <w:sz w:val="24"/>
          <w:u w:val="single"/>
        </w:rPr>
        <w:t>Application of Pipeline Capacity in the Event of a Default</w:t>
      </w:r>
      <w:r>
        <w:rPr>
          <w:sz w:val="24"/>
        </w:rPr>
        <w:t>.  Upon the occurrence of a Default (other than a Non-Triggering Default), ENA may exercise its remedies against the Pipeline Capacity, in which case ENA shall determine the value of the Pipeline Capacity based on then applicable market prices for gas in the relevant markets as determined by two independent quotes.  The proceeds of any Pipeline Capacity so liquidated shall be treated in accordance with the terms of the Master Netting Agreement and the Underlying Master Agreements.  Any Pipeline Capacity that ENA has not so liquidated shall continue to be governed by the terms of this Agreement.</w:t>
      </w:r>
    </w:p>
    <w:p>
      <w:pPr>
        <w:pStyle w:val="Normal"/>
        <w:ind w:start="720" w:end="0"/>
        <w:jc w:val="both"/>
        <w:rPr>
          <w:sz w:val="24"/>
        </w:rPr>
      </w:pPr>
      <w:r>
        <w:rPr>
          <w:sz w:val="24"/>
        </w:rPr>
      </w:r>
    </w:p>
    <w:p>
      <w:pPr>
        <w:pStyle w:val="Normal"/>
        <w:numPr>
          <w:ilvl w:val="0"/>
          <w:numId w:val="4"/>
        </w:numPr>
        <w:jc w:val="both"/>
        <w:rPr>
          <w:sz w:val="24"/>
        </w:rPr>
      </w:pPr>
      <w:r>
        <w:rPr>
          <w:sz w:val="24"/>
          <w:u w:val="single"/>
        </w:rPr>
        <w:t>Replacement Collateral</w:t>
      </w:r>
      <w:r>
        <w:rPr>
          <w:sz w:val="24"/>
        </w:rPr>
        <w:t xml:space="preserve">.  (a) On or before any Exercise Date, ET Gas shall have the right to provide cash (or other collateral meeting the requirements of the </w:t>
      </w:r>
      <w:ins w:id="127" w:author="lmellen" w:date="2001-04-18T18:44:00Z">
        <w:r>
          <w:rPr>
            <w:sz w:val="24"/>
          </w:rPr>
          <w:t>Master Netting Agreement, the</w:t>
        </w:r>
      </w:ins>
      <w:del w:id="128" w:author="Peter Meier" w:date="2001-04-18T12:38:00Z">
        <w:r>
          <w:rPr>
            <w:sz w:val="24"/>
          </w:rPr>
          <w:delText xml:space="preserve">Swap </w:delText>
        </w:r>
      </w:del>
      <w:ins w:id="129" w:author="Peter Meier" w:date="2001-04-18T12:38:00Z">
        <w:r>
          <w:rPr>
            <w:sz w:val="24"/>
          </w:rPr>
          <w:t xml:space="preserve">ISDA </w:t>
        </w:r>
      </w:ins>
      <w:r>
        <w:rPr>
          <w:sz w:val="24"/>
        </w:rPr>
        <w:t xml:space="preserve">Agreement and the Underlying Master Agreements) in replacement for </w:t>
      </w:r>
      <w:ins w:id="130" w:author="lmellen" w:date="2001-04-18T18:45:00Z">
        <w:r>
          <w:rPr>
            <w:sz w:val="24"/>
          </w:rPr>
          <w:t>the Pipeline Capacity</w:t>
        </w:r>
      </w:ins>
      <w:del w:id="131" w:author="lmellen" w:date="2001-04-18T18:45:00Z">
        <w:r>
          <w:rPr>
            <w:sz w:val="24"/>
          </w:rPr>
          <w:delText>its obligations hereunder</w:delText>
        </w:r>
      </w:del>
      <w:r>
        <w:rPr>
          <w:sz w:val="24"/>
        </w:rPr>
        <w:t xml:space="preserve">, in whole or in part, and </w:t>
      </w:r>
      <w:del w:id="132" w:author="lmellen" w:date="2001-04-18T18:45:00Z">
        <w:r>
          <w:rPr>
            <w:sz w:val="24"/>
          </w:rPr>
          <w:delText>to</w:delText>
        </w:r>
      </w:del>
      <w:r>
        <w:rPr>
          <w:sz w:val="24"/>
        </w:rPr>
        <w:t xml:space="preserve"> </w:t>
      </w:r>
      <w:ins w:id="133" w:author="Peter Meier" w:date="2001-04-18T12:38:00Z">
        <w:r>
          <w:rPr>
            <w:sz w:val="24"/>
          </w:rPr>
          <w:t xml:space="preserve">ET Gas shall be entitled to direct ENA to release, and ENA shall release, to ET Gas </w:t>
        </w:r>
      </w:ins>
      <w:ins w:id="134" w:author="lmellen" w:date="2001-04-18T18:44:00Z">
        <w:r>
          <w:rPr>
            <w:sz w:val="24"/>
          </w:rPr>
          <w:t>and/</w:t>
        </w:r>
      </w:ins>
      <w:ins w:id="135" w:author="Peter Meier" w:date="2001-04-18T12:38:00Z">
        <w:r>
          <w:rPr>
            <w:sz w:val="24"/>
          </w:rPr>
          <w:t xml:space="preserve">or the Designee </w:t>
        </w:r>
      </w:ins>
      <w:del w:id="136" w:author="Peter Meier" w:date="2001-04-18T12:38:00Z">
        <w:r>
          <w:rPr>
            <w:sz w:val="24"/>
          </w:rPr>
          <w:delText>permanently recall</w:delText>
        </w:r>
      </w:del>
      <w:r>
        <w:rPr>
          <w:sz w:val="24"/>
        </w:rPr>
        <w:t xml:space="preserve"> </w:t>
      </w:r>
      <w:ins w:id="137" w:author="Peter Meier" w:date="2001-04-18T12:40:00Z">
        <w:r>
          <w:rPr>
            <w:sz w:val="24"/>
          </w:rPr>
          <w:t xml:space="preserve">a volume of </w:t>
        </w:r>
      </w:ins>
      <w:r>
        <w:rPr>
          <w:sz w:val="24"/>
        </w:rPr>
        <w:t xml:space="preserve">Pipeline Capacity </w:t>
      </w:r>
      <w:ins w:id="138" w:author="Peter Meier" w:date="2001-04-18T12:40:00Z">
        <w:r>
          <w:rPr>
            <w:sz w:val="24"/>
          </w:rPr>
          <w:t>for which the Spread Value is not more than</w:t>
        </w:r>
      </w:ins>
      <w:del w:id="139" w:author="Peter Meier" w:date="2001-04-18T12:41:00Z">
        <w:r>
          <w:rPr>
            <w:sz w:val="24"/>
          </w:rPr>
          <w:delText>with a value corresponding to</w:delText>
        </w:r>
      </w:del>
      <w:r>
        <w:rPr>
          <w:sz w:val="24"/>
        </w:rPr>
        <w:t xml:space="preserve"> the value of the substitute collateral.  Such </w:t>
      </w:r>
      <w:del w:id="140" w:author="Peter Meier" w:date="2001-04-18T12:38:00Z">
        <w:r>
          <w:rPr>
            <w:sz w:val="24"/>
          </w:rPr>
          <w:delText xml:space="preserve">recall </w:delText>
        </w:r>
      </w:del>
      <w:ins w:id="141" w:author="Peter Meier" w:date="2001-04-18T12:38:00Z">
        <w:r>
          <w:rPr>
            <w:sz w:val="24"/>
          </w:rPr>
          <w:t xml:space="preserve">release </w:t>
        </w:r>
      </w:ins>
      <w:r>
        <w:rPr>
          <w:sz w:val="24"/>
        </w:rPr>
        <w:t xml:space="preserve">shall be effective beginning the first gas day of the next following calendar month for the remaining term of the Pipeline Capacity that is being </w:t>
      </w:r>
      <w:del w:id="142" w:author="Peter Meier" w:date="2001-04-18T12:39:00Z">
        <w:r>
          <w:rPr>
            <w:sz w:val="24"/>
          </w:rPr>
          <w:delText>permanently recalled</w:delText>
        </w:r>
      </w:del>
      <w:ins w:id="143" w:author="Peter Meier" w:date="2001-04-18T12:39:00Z">
        <w:r>
          <w:rPr>
            <w:sz w:val="24"/>
          </w:rPr>
          <w:t>released</w:t>
        </w:r>
      </w:ins>
      <w:r>
        <w:rPr>
          <w:sz w:val="24"/>
        </w:rPr>
        <w:t xml:space="preserve">.  </w:t>
      </w:r>
      <w:ins w:id="144" w:author="Peter Meier" w:date="2001-04-18T12:41:00Z">
        <w:r>
          <w:rPr>
            <w:sz w:val="24"/>
          </w:rPr>
          <w:t>ET Gas and</w:t>
        </w:r>
      </w:ins>
      <w:ins w:id="145" w:author="lmellen" w:date="2001-04-18T18:46:00Z">
        <w:r>
          <w:rPr>
            <w:sz w:val="24"/>
          </w:rPr>
          <w:t>/or</w:t>
        </w:r>
      </w:ins>
      <w:ins w:id="146" w:author="Peter Meier" w:date="2001-04-18T12:41:00Z">
        <w:r>
          <w:rPr>
            <w:sz w:val="24"/>
          </w:rPr>
          <w:t xml:space="preserve"> the Designee, on the one hand, and </w:t>
        </w:r>
      </w:ins>
      <w:r>
        <w:rPr>
          <w:sz w:val="24"/>
        </w:rPr>
        <w:t>ENA</w:t>
      </w:r>
      <w:ins w:id="147" w:author="Peter Meier" w:date="2001-04-18T12:41:00Z">
        <w:r>
          <w:rPr>
            <w:sz w:val="24"/>
          </w:rPr>
          <w:t>, on the other hand,</w:t>
        </w:r>
      </w:ins>
      <w:r>
        <w:rPr>
          <w:sz w:val="24"/>
        </w:rPr>
        <w:t xml:space="preserve"> shall</w:t>
      </w:r>
      <w:ins w:id="148" w:author="Peter Meier" w:date="2001-04-18T12:41:00Z">
        <w:r>
          <w:rPr>
            <w:sz w:val="24"/>
          </w:rPr>
          <w:t xml:space="preserve"> each</w:t>
        </w:r>
      </w:ins>
      <w:r>
        <w:rPr>
          <w:sz w:val="24"/>
        </w:rPr>
        <w:t xml:space="preserve"> take such actions as are</w:t>
      </w:r>
      <w:ins w:id="149" w:author="Peter Meier" w:date="2001-04-18T12:41:00Z">
        <w:r>
          <w:rPr>
            <w:sz w:val="24"/>
          </w:rPr>
          <w:t xml:space="preserve"> reasonably</w:t>
        </w:r>
      </w:ins>
      <w:r>
        <w:rPr>
          <w:sz w:val="24"/>
        </w:rPr>
        <w:t xml:space="preserve"> necessary to effectuate the </w:t>
      </w:r>
      <w:del w:id="150" w:author="Peter Meier" w:date="2001-04-18T12:39:00Z">
        <w:r>
          <w:rPr>
            <w:sz w:val="24"/>
          </w:rPr>
          <w:delText xml:space="preserve">recall </w:delText>
        </w:r>
      </w:del>
      <w:ins w:id="151" w:author="Peter Meier" w:date="2001-04-18T12:39:00Z">
        <w:r>
          <w:rPr>
            <w:sz w:val="24"/>
          </w:rPr>
          <w:t xml:space="preserve">release </w:t>
        </w:r>
      </w:ins>
      <w:r>
        <w:rPr>
          <w:sz w:val="24"/>
        </w:rPr>
        <w:t>of the Pipeline Capacity (including without limitation all action</w:t>
      </w:r>
      <w:ins w:id="152" w:author="Peter Meier" w:date="2001-04-18T12:42:00Z">
        <w:r>
          <w:rPr>
            <w:sz w:val="24"/>
          </w:rPr>
          <w:t xml:space="preserve"> reasonably</w:t>
        </w:r>
      </w:ins>
      <w:r>
        <w:rPr>
          <w:sz w:val="24"/>
        </w:rPr>
        <w:t xml:space="preserve"> necessary to instruct El Paso to release the Pipeline Capacity to ET Gas </w:t>
      </w:r>
      <w:ins w:id="153" w:author="Peter Meier" w:date="2001-04-18T12:39:00Z">
        <w:r>
          <w:rPr>
            <w:sz w:val="24"/>
          </w:rPr>
          <w:t xml:space="preserve">or the Designee </w:t>
        </w:r>
      </w:ins>
      <w:r>
        <w:rPr>
          <w:sz w:val="24"/>
        </w:rPr>
        <w:t xml:space="preserve">for the relevant time period and the relevant volume).   A Pipeline Capacity </w:t>
      </w:r>
      <w:del w:id="154" w:author="Peter Meier" w:date="2001-04-18T12:39:00Z">
        <w:r>
          <w:rPr>
            <w:sz w:val="24"/>
          </w:rPr>
          <w:delText xml:space="preserve">recall </w:delText>
        </w:r>
      </w:del>
      <w:ins w:id="155" w:author="Peter Meier" w:date="2001-04-18T12:39:00Z">
        <w:r>
          <w:rPr>
            <w:sz w:val="24"/>
          </w:rPr>
          <w:t xml:space="preserve">release </w:t>
        </w:r>
      </w:ins>
      <w:r>
        <w:rPr>
          <w:sz w:val="24"/>
        </w:rPr>
        <w:t xml:space="preserve">under this Section 7 shall be permanent and without further right of any kind to ENA or the other </w:t>
      </w:r>
      <w:del w:id="156" w:author="lmellen" w:date="2001-04-18T18:46:00Z">
        <w:r>
          <w:rPr>
            <w:sz w:val="24"/>
          </w:rPr>
          <w:delText>ENA</w:delText>
        </w:r>
      </w:del>
      <w:ins w:id="157" w:author="lmellen" w:date="2001-04-18T18:46:00Z">
        <w:r>
          <w:rPr>
            <w:sz w:val="24"/>
          </w:rPr>
          <w:t>Enron</w:t>
        </w:r>
      </w:ins>
      <w:r>
        <w:rPr>
          <w:sz w:val="24"/>
        </w:rPr>
        <w:t xml:space="preserve"> Parties.</w:t>
      </w:r>
      <w:del w:id="158" w:author="Peter Meier" w:date="2001-04-18T12:39:00Z">
        <w:r>
          <w:rPr>
            <w:sz w:val="24"/>
          </w:rPr>
          <w:delText>]</w:delText>
        </w:r>
      </w:del>
    </w:p>
    <w:p>
      <w:pPr>
        <w:pStyle w:val="Normal"/>
        <w:ind w:start="720" w:end="0"/>
        <w:jc w:val="both"/>
        <w:rPr>
          <w:sz w:val="24"/>
        </w:rPr>
      </w:pPr>
      <w:r>
        <w:rPr>
          <w:sz w:val="24"/>
        </w:rPr>
      </w:r>
    </w:p>
    <w:p>
      <w:pPr>
        <w:pStyle w:val="Normal"/>
        <w:ind w:start="720" w:end="0"/>
        <w:jc w:val="both"/>
        <w:rPr/>
      </w:pPr>
      <w:r>
        <w:rPr>
          <w:sz w:val="24"/>
        </w:rPr>
        <w:t>8.</w:t>
        <w:tab/>
      </w:r>
      <w:r>
        <w:rPr>
          <w:sz w:val="24"/>
          <w:u w:val="single"/>
        </w:rPr>
        <w:t>Term</w:t>
      </w:r>
      <w:r>
        <w:rPr>
          <w:sz w:val="24"/>
        </w:rPr>
        <w:t xml:space="preserve">.  This Agreement shall terminate on March 31, 2003 or the date on which no Pipeline Capacity continues to be subject to the terms of this Agreement, if sooner; provided, however, that the terms of this Agreement shall survive to the extent necessary to enforce a right of a party arising prior to termination. </w:t>
      </w:r>
    </w:p>
    <w:p>
      <w:pPr>
        <w:pStyle w:val="Normal"/>
        <w:ind w:start="720" w:end="0"/>
        <w:jc w:val="both"/>
        <w:rPr>
          <w:b/>
          <w:sz w:val="24"/>
        </w:rPr>
      </w:pPr>
      <w:r>
        <w:rPr>
          <w:b/>
          <w:sz w:val="24"/>
        </w:rPr>
        <w:t xml:space="preserve"> </w:t>
      </w:r>
    </w:p>
    <w:p>
      <w:pPr>
        <w:pStyle w:val="Normal"/>
        <w:numPr>
          <w:ilvl w:val="0"/>
          <w:numId w:val="4"/>
        </w:numPr>
        <w:jc w:val="both"/>
        <w:rPr>
          <w:sz w:val="24"/>
          <w:ins w:id="167" w:author="Peter Meier" w:date="2001-04-18T12:44:00Z"/>
        </w:rPr>
      </w:pPr>
      <w:del w:id="159" w:author="Peter Meier" w:date="2001-04-18T12:44:00Z">
        <w:r>
          <w:rPr>
            <w:sz w:val="24"/>
          </w:rPr>
          <w:delText xml:space="preserve">  </w:delText>
        </w:r>
      </w:del>
      <w:del w:id="160" w:author="Peter Meier" w:date="2001-04-18T12:44:00Z">
        <w:r>
          <w:rPr>
            <w:sz w:val="24"/>
          </w:rPr>
          <w:delText>9.</w:delText>
          <w:tab/>
        </w:r>
      </w:del>
      <w:r>
        <w:rPr>
          <w:sz w:val="24"/>
          <w:u w:val="single"/>
        </w:rPr>
        <w:t>Further Assurances</w:t>
      </w:r>
      <w:r>
        <w:rPr>
          <w:sz w:val="24"/>
        </w:rPr>
        <w:t>.  ET Gas and ENA shall each execute such additional documents and take such other action as the other may reasonably request to evidence the terms of this Agreement.  Without limiting the generality of the foregoing, the parties shall take the necessary or appropriate action, including timely delivering the Transfer Notice</w:t>
      </w:r>
      <w:ins w:id="161" w:author="Peter Meier" w:date="2001-04-18T13:10:00Z">
        <w:r>
          <w:rPr>
            <w:sz w:val="24"/>
          </w:rPr>
          <w:t>(s)</w:t>
        </w:r>
      </w:ins>
      <w:r>
        <w:rPr>
          <w:sz w:val="24"/>
        </w:rPr>
        <w:t xml:space="preserve"> and working with El Paso to ensure that the Initial Pipeline Capacity will be released to ENA and that the appropriate packages of Pipeline Capacity are </w:t>
      </w:r>
      <w:del w:id="162" w:author="Peter Meier" w:date="2001-04-18T13:10:00Z">
        <w:r>
          <w:rPr>
            <w:sz w:val="24"/>
          </w:rPr>
          <w:delText xml:space="preserve">recalled </w:delText>
        </w:r>
      </w:del>
      <w:ins w:id="163" w:author="Peter Meier" w:date="2001-04-18T13:10:00Z">
        <w:r>
          <w:rPr>
            <w:sz w:val="24"/>
          </w:rPr>
          <w:t xml:space="preserve">released </w:t>
        </w:r>
      </w:ins>
      <w:ins w:id="164" w:author="Peter Meier" w:date="2001-04-18T13:10:00Z">
        <w:del w:id="165" w:author="lmellen" w:date="2001-04-18T18:48:00Z">
          <w:r>
            <w:rPr>
              <w:sz w:val="24"/>
            </w:rPr>
            <w:delText xml:space="preserve">as directed by ET Gas or the Designee </w:delText>
          </w:r>
        </w:del>
      </w:ins>
      <w:del w:id="166" w:author="lmellen" w:date="2001-04-18T18:48:00Z">
        <w:r>
          <w:rPr>
            <w:sz w:val="24"/>
          </w:rPr>
          <w:delText>on ENA’s instruction</w:delText>
        </w:r>
      </w:del>
      <w:r>
        <w:rPr>
          <w:sz w:val="24"/>
        </w:rPr>
        <w:t xml:space="preserve">, on both a monthly and permanent basis, in the manner and at the times as are in accordance with this Agreement.  </w:t>
      </w:r>
    </w:p>
    <w:p>
      <w:pPr>
        <w:pStyle w:val="Normal"/>
        <w:ind w:start="720" w:end="0"/>
        <w:jc w:val="both"/>
        <w:rPr>
          <w:sz w:val="24"/>
        </w:rPr>
      </w:pPr>
      <w:r>
        <w:rPr>
          <w:sz w:val="24"/>
        </w:rPr>
      </w:r>
    </w:p>
    <w:p>
      <w:pPr>
        <w:pStyle w:val="BodyTextIndent"/>
        <w:ind w:start="0" w:end="0"/>
        <w:rPr/>
      </w:pPr>
      <w:r>
        <w:rPr/>
        <w:t>10.</w:t>
        <w:tab/>
      </w:r>
      <w:r>
        <w:rPr>
          <w:u w:val="single"/>
        </w:rPr>
        <w:t>No Waiver</w:t>
      </w:r>
      <w:r>
        <w:rPr/>
        <w:t>.  No failure on the part of a party to exercise, and no course of dealing with respect to, and no delay in exercising, any right, power or remedy hereunder shall operate as a waiver thereof.</w:t>
      </w:r>
    </w:p>
    <w:p>
      <w:pPr>
        <w:pStyle w:val="BodyTextIndent"/>
        <w:ind w:start="0" w:end="0"/>
        <w:rPr/>
      </w:pPr>
      <w:r>
        <w:rPr/>
      </w:r>
    </w:p>
    <w:p>
      <w:pPr>
        <w:pStyle w:val="BodyTextIndent"/>
        <w:numPr>
          <w:ilvl w:val="0"/>
          <w:numId w:val="2"/>
        </w:numPr>
        <w:rPr>
          <w:ins w:id="171" w:author="Peter Meier" w:date="2001-04-18T12:44:00Z"/>
        </w:rPr>
      </w:pPr>
      <w:del w:id="168" w:author="Peter Meier" w:date="2001-04-18T12:44:00Z">
        <w:r>
          <w:rPr>
            <w:u w:val="single"/>
          </w:rPr>
          <w:delText>11.</w:delText>
          <w:tab/>
        </w:r>
      </w:del>
      <w:r>
        <w:rPr>
          <w:u w:val="single"/>
        </w:rPr>
        <w:t>Notices</w:t>
      </w:r>
      <w:r>
        <w:rPr/>
        <w:t>.  All notices, requests, consents and demands hereunder shall be</w:t>
      </w:r>
      <w:ins w:id="169" w:author="Peter Meier" w:date="2001-04-18T12:45:00Z">
        <w:r>
          <w:rPr/>
          <w:t xml:space="preserve"> delivered in accordance with Section 12 of the Master Netting Agreement.</w:t>
        </w:r>
      </w:ins>
      <w:r>
        <w:rPr/>
        <w:t xml:space="preserve"> </w:t>
      </w:r>
      <w:del w:id="170" w:author="Peter Meier" w:date="2001-04-18T12:46:00Z">
        <w:r>
          <w:rPr/>
          <w:delText>in writing and shall be deemed received if sent to the address specified below the signatures of the respective parties hereto (a) on the day received if served by hand, (ii) on the next business day if served by facsimile transmission when sender has machine confirmation that facsimile was transmitted to the correct fax number, (c) four business days after mailing if sent by certified, first-class mail, return receipt requested, and (d) on the day received if served by overnight express delivery.  Any party may change any address to which notice is to be given to it by giving notice as provided herein.</w:delText>
        </w:r>
      </w:del>
    </w:p>
    <w:p>
      <w:pPr>
        <w:pStyle w:val="BodyTextIndent"/>
        <w:ind w:start="0" w:end="0"/>
        <w:rPr/>
      </w:pPr>
      <w:r>
        <w:rPr/>
      </w:r>
    </w:p>
    <w:p>
      <w:pPr>
        <w:pStyle w:val="BodyTextIndent"/>
        <w:numPr>
          <w:ilvl w:val="0"/>
          <w:numId w:val="2"/>
        </w:numPr>
        <w:rPr>
          <w:ins w:id="173" w:author="Peter Meier" w:date="2001-04-18T12:58:00Z"/>
        </w:rPr>
      </w:pPr>
      <w:del w:id="172" w:author="Peter Meier" w:date="2001-04-18T12:58:00Z">
        <w:r>
          <w:rPr/>
          <w:delText>12.</w:delText>
          <w:tab/>
        </w:r>
      </w:del>
      <w:r>
        <w:rPr>
          <w:u w:val="single"/>
        </w:rPr>
        <w:t>Arbitration</w:t>
      </w:r>
      <w:r>
        <w:rPr/>
        <w:t>.  Except as provided in Section 13 below, any claim, counterclaim, demand, cause of action, dispute, and controversy arising out of or relating to this Agreement or the relationship established by this Agreement, any provision hereof, the alleged breach thereof, or in any way relating to the subject matter of this Agreement, involving the parties and/or their respective representatives (collectively, the "Claims") shall be resolved by binding arbitration.  Arbitration shall be governed by the Federal Arbitration Act and conducted in accordance with the Commercial Arbitration Rules of the American Arbitration Association.  The validity, construction, and interpretation of this agreement to arbitrate, and all procedural aspects of the arbitration conducted pursuant hereto shall be decided by the arbitrators.  In deciding the substance of the Claims, the arbitrators shall refer to the governing law.  It is agreed that the arbitrators shall have no authority to award treble, exemplary or punitive damages of any type under any circumstances whether or not such damages may be available under state or federal law, or under the Federal Arbitration Act, or under the Commercial Arbitration Rules of the American Arbitration Association, the parties hereby waiving their right, if any, to recover any such damages.  The arbitration proceeding shall be conducted with alternating sessions in the home office of the Beneficiary and the Company.  Within thirty days of the notice of initiation of the arbitration procedure, each of ENA and ET Gas shall select one arbitrator.  The two arbitrators shall select a third arbitrator.  The third arbitrator shall be a person who has over eight years professional experience in over-the-counter derivative products and who has not previously been employed by any party and does not have a direct or indirect interest in any party or the subject matter of the arbitration.  The two party-appointed arbitrators shall not have had prior relationships with any party.  To the fullest extent permitted by law, any arbitration proceeding and the arbitrators' award shall be maintained in confidence by the parties.</w:t>
      </w:r>
    </w:p>
    <w:p>
      <w:pPr>
        <w:pStyle w:val="BodyTextIndent"/>
        <w:ind w:start="0" w:end="0"/>
        <w:rPr/>
      </w:pPr>
      <w:r>
        <w:rPr/>
      </w:r>
    </w:p>
    <w:p>
      <w:pPr>
        <w:pStyle w:val="BodyTextIndent"/>
        <w:ind w:start="0" w:end="0"/>
        <w:rPr/>
      </w:pPr>
      <w:r>
        <w:rPr/>
        <w:t>13.</w:t>
        <w:tab/>
      </w:r>
      <w:r>
        <w:rPr>
          <w:u w:val="single"/>
        </w:rPr>
        <w:t>Right to Specific Performance</w:t>
      </w:r>
      <w:r>
        <w:rPr/>
        <w:t>.  Notwithstanding Section 12 to the contrary, either party shall be entitled to specific performance or other equitable relief in any court of competent jurisdiction in order to exercise their respective rights with respect to the Pipeline Capacity in accordance with the terms of this Agreement.</w:t>
      </w:r>
      <w:ins w:id="174" w:author="Peter Meier" w:date="2001-04-18T12:47:00Z">
        <w:r>
          <w:rPr/>
          <w:t xml:space="preserve">  In addition, in the event that </w:t>
        </w:r>
      </w:ins>
      <w:ins w:id="175" w:author="lmellen" w:date="2001-04-18T16:38:00Z">
        <w:r>
          <w:rPr/>
          <w:t xml:space="preserve">any of the Enron Parties </w:t>
        </w:r>
      </w:ins>
      <w:ins w:id="176" w:author="Peter Meier" w:date="2001-04-18T12:47:00Z">
        <w:del w:id="177" w:author="lmellen" w:date="2001-04-18T16:39:00Z">
          <w:r>
            <w:rPr/>
            <w:delText>ENA</w:delText>
          </w:r>
        </w:del>
      </w:ins>
      <w:ins w:id="178" w:author="Peter Meier" w:date="2001-04-18T12:47:00Z">
        <w:r>
          <w:rPr/>
          <w:t xml:space="preserve"> is in </w:t>
        </w:r>
      </w:ins>
      <w:ins w:id="179" w:author="Peter Meier" w:date="2001-04-18T12:47:00Z">
        <w:del w:id="180" w:author="lmellen" w:date="2001-04-18T16:39:00Z">
          <w:r>
            <w:rPr/>
            <w:delText>d</w:delText>
          </w:r>
        </w:del>
      </w:ins>
      <w:ins w:id="181" w:author="lmellen" w:date="2001-04-18T16:39:00Z">
        <w:r>
          <w:rPr/>
          <w:t>D</w:t>
        </w:r>
      </w:ins>
      <w:ins w:id="182" w:author="Peter Meier" w:date="2001-04-18T12:47:00Z">
        <w:r>
          <w:rPr/>
          <w:t xml:space="preserve">efault of </w:t>
        </w:r>
      </w:ins>
      <w:ins w:id="183" w:author="Peter Meier" w:date="2001-04-18T12:47:00Z">
        <w:del w:id="184" w:author="lmellen" w:date="2001-04-18T16:40:00Z">
          <w:r>
            <w:rPr/>
            <w:delText>any provision of this</w:delText>
          </w:r>
        </w:del>
      </w:ins>
      <w:ins w:id="185" w:author="lmellen" w:date="2001-04-18T16:40:00Z">
        <w:r>
          <w:rPr/>
          <w:t xml:space="preserve"> the Master Netting</w:t>
        </w:r>
      </w:ins>
      <w:ins w:id="186" w:author="Peter Meier" w:date="2001-04-18T12:47:00Z">
        <w:r>
          <w:rPr/>
          <w:t xml:space="preserve"> Agreement, and ENA shall </w:t>
        </w:r>
      </w:ins>
      <w:ins w:id="187" w:author="Peter Meier" w:date="2001-04-18T12:53:00Z">
        <w:r>
          <w:rPr/>
          <w:t xml:space="preserve">be </w:t>
        </w:r>
      </w:ins>
      <w:ins w:id="188" w:author="Peter Meier" w:date="2001-04-18T12:47:00Z">
        <w:r>
          <w:rPr/>
          <w:t>seek</w:t>
        </w:r>
      </w:ins>
      <w:ins w:id="189" w:author="Peter Meier" w:date="2001-04-18T12:53:00Z">
        <w:r>
          <w:rPr/>
          <w:t>ing</w:t>
        </w:r>
      </w:ins>
      <w:ins w:id="190" w:author="Peter Meier" w:date="2001-04-18T12:47:00Z">
        <w:r>
          <w:rPr/>
          <w:t xml:space="preserve"> to exercise any of its remedies against the Pipeline Capacity in accordance with Section 6 above, the ISDA Agreement, the Master Netting Agreement or otherwise,</w:t>
        </w:r>
      </w:ins>
      <w:ins w:id="191" w:author="Peter Meier" w:date="2001-04-18T12:49:00Z">
        <w:r>
          <w:rPr/>
          <w:t xml:space="preserve"> then</w:t>
        </w:r>
      </w:ins>
      <w:ins w:id="192" w:author="Peter Meier" w:date="2001-04-18T12:56:00Z">
        <w:r>
          <w:rPr/>
          <w:t>, notwithstanding any agreement to the contrary</w:t>
        </w:r>
      </w:ins>
      <w:ins w:id="193" w:author="lmellen" w:date="2001-04-18T18:57:00Z">
        <w:r>
          <w:rPr/>
          <w:t xml:space="preserve"> and</w:t>
        </w:r>
      </w:ins>
      <w:ins w:id="194" w:author="Peter Meier" w:date="2001-04-18T12:56:00Z">
        <w:del w:id="195" w:author="lmellen" w:date="2001-04-18T18:57:00Z">
          <w:r>
            <w:rPr/>
            <w:delText>,</w:delText>
          </w:r>
        </w:del>
      </w:ins>
      <w:ins w:id="196" w:author="Peter Meier" w:date="2001-04-18T12:49:00Z">
        <w:del w:id="197" w:author="lmellen" w:date="2001-04-18T18:57:00Z">
          <w:r>
            <w:rPr/>
            <w:delText xml:space="preserve"> </w:delText>
          </w:r>
        </w:del>
      </w:ins>
      <w:ins w:id="198" w:author="lmellen" w:date="2001-04-18T18:49:00Z">
        <w:r>
          <w:rPr/>
          <w:t xml:space="preserve">although any of the Enron Parties may exercise any </w:t>
        </w:r>
      </w:ins>
      <w:ins w:id="199" w:author="lmellen" w:date="2001-04-18T18:57:00Z">
        <w:r>
          <w:rPr/>
          <w:t xml:space="preserve">other </w:t>
        </w:r>
      </w:ins>
      <w:ins w:id="200" w:author="lmellen" w:date="2001-04-18T18:50:00Z">
        <w:r>
          <w:rPr/>
          <w:t xml:space="preserve">rights and remedies which it may have under the </w:t>
        </w:r>
      </w:ins>
      <w:ins w:id="201" w:author="lmellen" w:date="2001-04-18T18:56:00Z">
        <w:r>
          <w:rPr/>
          <w:t xml:space="preserve">ISDA Agreement, the </w:t>
        </w:r>
      </w:ins>
      <w:ins w:id="202" w:author="lmellen" w:date="2001-04-18T18:50:00Z">
        <w:r>
          <w:rPr/>
          <w:t>Master Netting Agreement</w:t>
        </w:r>
      </w:ins>
      <w:ins w:id="203" w:author="lmellen" w:date="2001-04-18T18:56:00Z">
        <w:r>
          <w:rPr/>
          <w:t xml:space="preserve"> or</w:t>
        </w:r>
      </w:ins>
      <w:ins w:id="204" w:author="lmellen" w:date="2001-04-18T18:50:00Z">
        <w:r>
          <w:rPr/>
          <w:t xml:space="preserve"> the Underlying Master Agreements</w:t>
        </w:r>
      </w:ins>
      <w:ins w:id="205" w:author="lmellen" w:date="2001-04-18T18:53:00Z">
        <w:r>
          <w:rPr/>
          <w:t>,</w:t>
        </w:r>
      </w:ins>
      <w:ins w:id="206" w:author="lmellen" w:date="2001-04-18T18:50:00Z">
        <w:r>
          <w:rPr/>
          <w:t xml:space="preserve"> </w:t>
        </w:r>
      </w:ins>
      <w:ins w:id="207" w:author="Peter Meier" w:date="2001-04-18T12:50:00Z">
        <w:r>
          <w:rPr/>
          <w:t xml:space="preserve">ET Gas or any of the PG&amp;E Parties shall be entitled for a period of ten </w:t>
        </w:r>
      </w:ins>
      <w:ins w:id="208" w:author="Peter Meier" w:date="2001-04-18T12:50:00Z">
        <w:del w:id="209" w:author="lmellen" w:date="2001-04-18T16:05:00Z">
          <w:r>
            <w:rPr/>
            <w:delText>business</w:delText>
          </w:r>
        </w:del>
      </w:ins>
      <w:ins w:id="210" w:author="Peter Meier" w:date="2001-04-18T12:50:00Z">
        <w:r>
          <w:rPr/>
          <w:t xml:space="preserve"> days to </w:t>
        </w:r>
      </w:ins>
      <w:ins w:id="211" w:author="lmellen" w:date="2001-04-18T16:06:00Z">
        <w:r>
          <w:rPr/>
          <w:t>pay any Settlement Amount</w:t>
        </w:r>
      </w:ins>
      <w:ins w:id="212" w:author="lmellen" w:date="2001-04-18T18:54:00Z">
        <w:r>
          <w:rPr/>
          <w:t xml:space="preserve"> </w:t>
        </w:r>
      </w:ins>
      <w:ins w:id="213" w:author="lmellen" w:date="2001-04-18T16:06:00Z">
        <w:r>
          <w:rPr/>
          <w:t xml:space="preserve">or Final Settlement Amount or otherwise </w:t>
        </w:r>
      </w:ins>
      <w:ins w:id="214" w:author="Peter Meier" w:date="2001-04-18T12:50:00Z">
        <w:r>
          <w:rPr/>
          <w:t xml:space="preserve">cure the event giving rise to ENA’s right to exercise any of </w:t>
        </w:r>
      </w:ins>
      <w:ins w:id="215" w:author="Peter Meier" w:date="2001-04-18T12:53:00Z">
        <w:r>
          <w:rPr/>
          <w:t>such</w:t>
        </w:r>
      </w:ins>
      <w:ins w:id="216" w:author="Peter Meier" w:date="2001-04-18T12:51:00Z">
        <w:r>
          <w:rPr/>
          <w:t xml:space="preserve"> </w:t>
        </w:r>
      </w:ins>
      <w:ins w:id="217" w:author="Peter Meier" w:date="2001-04-18T12:53:00Z">
        <w:r>
          <w:rPr/>
          <w:t xml:space="preserve">remedies, and </w:t>
        </w:r>
      </w:ins>
      <w:ins w:id="218" w:author="Peter Meier" w:date="2001-04-18T12:55:00Z">
        <w:r>
          <w:rPr/>
          <w:t xml:space="preserve">subject to such </w:t>
        </w:r>
      </w:ins>
      <w:ins w:id="219" w:author="lmellen" w:date="2001-04-18T16:07:00Z">
        <w:r>
          <w:rPr/>
          <w:t xml:space="preserve">payment or </w:t>
        </w:r>
      </w:ins>
      <w:ins w:id="220" w:author="Peter Meier" w:date="2001-04-18T12:55:00Z">
        <w:r>
          <w:rPr/>
          <w:t>cur</w:t>
        </w:r>
      </w:ins>
      <w:ins w:id="221" w:author="Peter Meier" w:date="2001-04-18T12:53:00Z">
        <w:r>
          <w:rPr/>
          <w:t>e</w:t>
        </w:r>
      </w:ins>
      <w:ins w:id="222" w:author="lmellen" w:date="2001-04-18T16:06:00Z">
        <w:r>
          <w:rPr/>
          <w:t>,</w:t>
        </w:r>
      </w:ins>
      <w:ins w:id="223" w:author="Peter Meier" w:date="2001-04-18T12:53:00Z">
        <w:r>
          <w:rPr/>
          <w:t xml:space="preserve"> ENA shall release the Pipeline Capacity</w:t>
        </w:r>
      </w:ins>
      <w:ins w:id="224" w:author="Peter Meier" w:date="2001-04-18T12:55:00Z">
        <w:r>
          <w:rPr/>
          <w:t xml:space="preserve"> in accordance with the applicable terms of this Agreement (i.e., Section 3, 4 or 7 hereof).</w:t>
        </w:r>
      </w:ins>
    </w:p>
    <w:p>
      <w:pPr>
        <w:pStyle w:val="BodyTextIndent"/>
        <w:ind w:start="0" w:end="0"/>
        <w:rPr/>
      </w:pPr>
      <w:r>
        <w:rPr/>
      </w:r>
    </w:p>
    <w:p>
      <w:pPr>
        <w:pStyle w:val="BodyTextIndent"/>
        <w:ind w:start="0" w:end="0"/>
        <w:rPr/>
      </w:pPr>
      <w:r>
        <w:rPr/>
        <w:t>14.</w:t>
        <w:tab/>
      </w:r>
      <w:r>
        <w:rPr>
          <w:u w:val="single"/>
        </w:rPr>
        <w:t>Amendments</w:t>
      </w:r>
      <w:r>
        <w:rPr/>
        <w:t>.  Except as otherwise provided herein, the terms of this Agreement may be waived, altered or amended only by an instrument in writing duly executed by the ENA and ET Gas.</w:t>
      </w:r>
    </w:p>
    <w:p>
      <w:pPr>
        <w:pStyle w:val="BodyTextIndent"/>
        <w:ind w:start="0" w:end="0"/>
        <w:rPr>
          <w:u w:val="single"/>
        </w:rPr>
      </w:pPr>
      <w:r>
        <w:rPr>
          <w:u w:val="single"/>
        </w:rPr>
      </w:r>
    </w:p>
    <w:p>
      <w:pPr>
        <w:pStyle w:val="BodyTextIndent"/>
        <w:ind w:start="0" w:end="0"/>
        <w:rPr/>
      </w:pPr>
      <w:r>
        <w:rPr/>
        <w:t>15.</w:t>
        <w:tab/>
      </w:r>
      <w:r>
        <w:rPr>
          <w:u w:val="single"/>
        </w:rPr>
        <w:t>Successors and Assigns</w:t>
      </w:r>
      <w:r>
        <w:rPr/>
        <w:t>.  This Agreement shall be binding upon and inure to the benefit of the respective permitted successors and assigns of the ENA and ET Gas</w:t>
      </w:r>
      <w:ins w:id="225" w:author="Peter Meier" w:date="2001-04-18T12:58:00Z">
        <w:r>
          <w:rPr/>
          <w:t xml:space="preserve"> and upon any Designee and its permitted successors and assigns</w:t>
        </w:r>
      </w:ins>
      <w:r>
        <w:rPr/>
        <w:t>.  Each of the parties may assign this Agreement to a party to whom it has assigned its interests in respect of the Gas Transactions, so long as the assignment of the Gas Transactions is to an assignee permitted under the ISDA Agreement and the Master Netting Agreement.  Except as provided in the preceding sentence, neither ENA nor ET Gas may assign or transfer any of its rights or obligations hereunder without the prior written consent of each of the other parties.</w:t>
      </w:r>
    </w:p>
    <w:p>
      <w:pPr>
        <w:pStyle w:val="BodyTextIndent"/>
        <w:ind w:start="0" w:end="0"/>
        <w:rPr>
          <w:u w:val="single"/>
        </w:rPr>
      </w:pPr>
      <w:r>
        <w:rPr>
          <w:u w:val="single"/>
        </w:rPr>
      </w:r>
    </w:p>
    <w:p>
      <w:pPr>
        <w:pStyle w:val="BodyTextIndent"/>
        <w:ind w:start="0" w:end="0"/>
        <w:rPr/>
      </w:pPr>
      <w:r>
        <w:rPr/>
        <w:t>16.</w:t>
        <w:tab/>
      </w:r>
      <w:r>
        <w:rPr>
          <w:u w:val="single"/>
        </w:rPr>
        <w:t>Counterparts</w:t>
      </w:r>
      <w:r>
        <w:rPr/>
        <w:t>.  This Agreement may be executed in any number of counterparts, all of which taken together shall constitute one and the same instrument and any of the parties hereof may execute this Agreement by signing any such counterpart.</w:t>
      </w:r>
    </w:p>
    <w:p>
      <w:pPr>
        <w:pStyle w:val="BodyTextIndent"/>
        <w:ind w:start="0" w:end="0"/>
        <w:rPr>
          <w:u w:val="single"/>
        </w:rPr>
      </w:pPr>
      <w:r>
        <w:rPr>
          <w:u w:val="single"/>
        </w:rPr>
      </w:r>
    </w:p>
    <w:p>
      <w:pPr>
        <w:pStyle w:val="BodyTextIndent"/>
        <w:ind w:start="0" w:end="0"/>
        <w:rPr/>
      </w:pPr>
      <w:r>
        <w:rPr/>
        <w:t>17.</w:t>
        <w:tab/>
      </w:r>
      <w:r>
        <w:rPr>
          <w:u w:val="single"/>
        </w:rPr>
        <w:t>Governing Law</w:t>
      </w:r>
      <w:r>
        <w:rPr/>
        <w:t>.  This Agreement shall be governed by, and construed in accordance with, the laws of the State of New York without giving effect to the conflict of laws rules thereof.</w:t>
      </w:r>
    </w:p>
    <w:p>
      <w:pPr>
        <w:pStyle w:val="BodyTextIndent"/>
        <w:ind w:start="0" w:end="0"/>
        <w:rPr>
          <w:u w:val="single"/>
        </w:rPr>
      </w:pPr>
      <w:r>
        <w:rPr>
          <w:u w:val="single"/>
        </w:rPr>
      </w:r>
    </w:p>
    <w:p>
      <w:pPr>
        <w:pStyle w:val="BodyTextIndent"/>
        <w:ind w:start="0" w:end="0"/>
        <w:rPr/>
      </w:pPr>
      <w:r>
        <w:rPr/>
        <w:t>18</w:t>
        <w:tab/>
      </w:r>
      <w:r>
        <w:rPr>
          <w:u w:val="single"/>
        </w:rPr>
        <w:t>Severability</w:t>
      </w:r>
      <w:r>
        <w:rPr/>
        <w:t>.  If any provision hereof is invalid or unenforceable in any jurisdiction, then, to the fullest extent permitted by law, (a) the other provisions hereof shall remain in full force and effect in such jurisdiction, and (b) the invalidity or unenforceability of any provision hereof in any jurisdiction shall not affect the validity or enforceability of such provision in any other jurisdiction.</w:t>
      </w:r>
      <w:ins w:id="226" w:author="Peter Meier" w:date="2001-04-18T12:58:00Z">
        <w:r>
          <w:rPr/>
          <w:t xml:space="preserve">  Furthermore, if any provision</w:t>
        </w:r>
      </w:ins>
      <w:ins w:id="227" w:author="Peter Meier" w:date="2001-04-18T13:00:00Z">
        <w:r>
          <w:rPr/>
          <w:t xml:space="preserve"> hereof</w:t>
        </w:r>
      </w:ins>
      <w:ins w:id="228" w:author="Peter Meier" w:date="2001-04-18T12:58:00Z">
        <w:r>
          <w:rPr/>
          <w:t xml:space="preserve"> is</w:t>
        </w:r>
      </w:ins>
      <w:ins w:id="229" w:author="Peter Meier" w:date="2001-04-18T14:28:00Z">
        <w:r>
          <w:rPr/>
          <w:t xml:space="preserve"> deemed</w:t>
        </w:r>
      </w:ins>
      <w:ins w:id="230" w:author="Peter Meier" w:date="2001-04-18T12:58:00Z">
        <w:r>
          <w:rPr/>
          <w:t xml:space="preserve"> invalid or unenforceable, ENA and ET Gas shall negotiate in good faith to reach agreement on</w:t>
        </w:r>
      </w:ins>
      <w:ins w:id="231" w:author="Peter Meier" w:date="2001-04-18T13:00:00Z">
        <w:r>
          <w:rPr/>
          <w:t xml:space="preserve"> mutually </w:t>
        </w:r>
      </w:ins>
      <w:ins w:id="232" w:author="lmellen" w:date="2001-04-18T18:59:00Z">
        <w:r>
          <w:rPr/>
          <w:t xml:space="preserve">commercially </w:t>
        </w:r>
      </w:ins>
      <w:ins w:id="233" w:author="Peter Meier" w:date="2001-04-18T13:00:00Z">
        <w:r>
          <w:rPr/>
          <w:t>acceptable</w:t>
        </w:r>
      </w:ins>
      <w:ins w:id="234" w:author="Peter Meier" w:date="2001-04-18T12:58:00Z">
        <w:r>
          <w:rPr/>
          <w:t xml:space="preserve"> substitute or supplemental terms and condition</w:t>
        </w:r>
      </w:ins>
      <w:ins w:id="235" w:author="lmellen" w:date="2001-04-18T18:58:00Z">
        <w:r>
          <w:rPr/>
          <w:t>s</w:t>
        </w:r>
      </w:ins>
      <w:ins w:id="236" w:author="Peter Meier" w:date="2001-04-18T12:58:00Z">
        <w:r>
          <w:rPr/>
          <w:t xml:space="preserve"> </w:t>
        </w:r>
      </w:ins>
      <w:ins w:id="237" w:author="Peter Meier" w:date="2001-04-18T13:00:00Z">
        <w:r>
          <w:rPr/>
          <w:t xml:space="preserve">for the purpose of securing to each the benefit of the bargain hereof to the </w:t>
        </w:r>
      </w:ins>
      <w:ins w:id="238" w:author="Peter Meier" w:date="2001-04-18T13:00:00Z">
        <w:del w:id="239" w:author="lmellen" w:date="2001-04-18T18:58:00Z">
          <w:r>
            <w:rPr/>
            <w:delText>greatest</w:delText>
          </w:r>
        </w:del>
      </w:ins>
      <w:ins w:id="240" w:author="Peter Meier" w:date="2001-04-18T13:00:00Z">
        <w:r>
          <w:rPr/>
          <w:t xml:space="preserve"> extent reasonably possible.</w:t>
        </w:r>
      </w:ins>
      <w:r>
        <w:rPr/>
        <w:t xml:space="preserve">  </w:t>
      </w:r>
    </w:p>
    <w:p>
      <w:pPr>
        <w:pStyle w:val="BodyTextIndent"/>
        <w:ind w:start="0" w:end="0"/>
        <w:rPr/>
      </w:pPr>
      <w:r>
        <w:rPr/>
      </w:r>
    </w:p>
    <w:p>
      <w:pPr>
        <w:pStyle w:val="BodyTextIndent"/>
        <w:ind w:start="0" w:end="0"/>
        <w:rPr/>
      </w:pPr>
      <w:r>
        <w:rPr/>
        <w:t>19.</w:t>
        <w:tab/>
      </w:r>
      <w:r>
        <w:rPr>
          <w:u w:val="single"/>
        </w:rPr>
        <w:t>Conflicts and Inconsistencies</w:t>
      </w:r>
      <w:r>
        <w:rPr/>
        <w:t>.  In the event of any conflict or inconsistency between this Agreement and any of the Underlying Master Agreements (where defined) or the Master Netting Agreement concerning the matters set forth in this Agreement, the provisions of this Agreement shall govern.</w:t>
      </w:r>
    </w:p>
    <w:p>
      <w:pPr>
        <w:pStyle w:val="BodyTextIndent"/>
        <w:ind w:start="0" w:end="0"/>
        <w:rPr/>
      </w:pPr>
      <w:r>
        <w:rPr/>
      </w:r>
    </w:p>
    <w:p>
      <w:pPr>
        <w:pStyle w:val="BodyTextIndent"/>
        <w:ind w:firstLine="720" w:start="0" w:end="0"/>
        <w:rPr/>
      </w:pPr>
      <w:r>
        <w:rPr/>
        <w:t>IN WITNESS WHEREOF, the parties hereto have caused this Agreement to be executed as of the date first above written.</w:t>
      </w:r>
    </w:p>
    <w:p>
      <w:pPr>
        <w:pStyle w:val="BodyTextIndent"/>
        <w:ind w:start="720" w:end="0"/>
        <w:rPr/>
      </w:pPr>
      <w:r>
        <w:rPr/>
      </w:r>
    </w:p>
    <w:p>
      <w:pPr>
        <w:pStyle w:val="BodyTextIndent"/>
        <w:ind w:start="720" w:end="0"/>
        <w:rPr/>
      </w:pPr>
      <w:r>
        <w:rPr/>
      </w:r>
    </w:p>
    <w:p>
      <w:pPr>
        <w:pStyle w:val="BodyTextIndent"/>
        <w:ind w:start="720" w:end="0"/>
        <w:rPr/>
      </w:pPr>
      <w:r>
        <w:rPr/>
        <w:t xml:space="preserve">PG&amp;E ENERGY TRADING </w:t>
      </w:r>
      <w:del w:id="241" w:author="Peter Meier" w:date="2001-04-18T13:01:00Z">
        <w:r>
          <w:rPr/>
          <w:delText>–</w:delText>
        </w:r>
      </w:del>
      <w:ins w:id="242" w:author="Peter Meier" w:date="2001-04-18T14:30:00Z">
        <w:r>
          <w:rPr/>
          <w:t>-</w:t>
        </w:r>
      </w:ins>
      <w:r>
        <w:rPr/>
        <w:t xml:space="preserve"> GAS CORPORATION</w:t>
      </w:r>
    </w:p>
    <w:p>
      <w:pPr>
        <w:pStyle w:val="BodyTextIndent"/>
        <w:ind w:start="720" w:end="0"/>
        <w:rPr/>
      </w:pPr>
      <w:r>
        <w:rPr/>
      </w:r>
    </w:p>
    <w:p>
      <w:pPr>
        <w:pStyle w:val="BodyTextIndent"/>
        <w:ind w:start="720" w:end="0"/>
        <w:rPr/>
      </w:pPr>
      <w:r>
        <w:rPr/>
        <w:t>By:__________________________</w:t>
      </w:r>
    </w:p>
    <w:p>
      <w:pPr>
        <w:pStyle w:val="BodyTextIndent"/>
        <w:ind w:start="720" w:end="0"/>
        <w:rPr/>
      </w:pPr>
      <w:r>
        <w:rPr/>
        <w:t>Name:</w:t>
      </w:r>
    </w:p>
    <w:p>
      <w:pPr>
        <w:pStyle w:val="BodyTextIndent"/>
        <w:ind w:start="720" w:end="0"/>
        <w:rPr/>
      </w:pPr>
      <w:r>
        <w:rPr/>
        <w:t>Title:</w:t>
      </w:r>
    </w:p>
    <w:p>
      <w:pPr>
        <w:pStyle w:val="BodyTextIndent"/>
        <w:ind w:start="720" w:end="0"/>
        <w:rPr/>
      </w:pPr>
      <w:del w:id="243" w:author="Peter Meier" w:date="2001-04-18T13:01:00Z">
        <w:r>
          <w:rPr/>
          <w:delText>Address for Notices: 7600 Wisconsin Ave., Bethesda, MD, Attention: Senior Vice President with a copy to General Counsel.  Phone: 301-280-6800, fax: 301-280-6900</w:delText>
        </w:r>
      </w:del>
      <w:r>
        <w:rPr/>
        <w:t>.</w:t>
      </w:r>
    </w:p>
    <w:p>
      <w:pPr>
        <w:pStyle w:val="BodyTextIndent"/>
        <w:ind w:start="720" w:end="0"/>
        <w:rPr/>
      </w:pPr>
      <w:r>
        <w:rPr/>
      </w:r>
    </w:p>
    <w:p>
      <w:pPr>
        <w:pStyle w:val="BodyTextIndent"/>
        <w:ind w:start="720" w:end="0"/>
        <w:rPr/>
      </w:pPr>
      <w:r>
        <w:rPr/>
      </w:r>
    </w:p>
    <w:p>
      <w:pPr>
        <w:pStyle w:val="BodyTextIndent"/>
        <w:ind w:start="720" w:end="0"/>
        <w:rPr/>
      </w:pPr>
      <w:r>
        <w:rPr/>
        <w:t>ENRON NORTH AMERICA CORP.</w:t>
      </w:r>
    </w:p>
    <w:p>
      <w:pPr>
        <w:pStyle w:val="BodyTextIndent"/>
        <w:ind w:start="720" w:end="0"/>
        <w:rPr/>
      </w:pPr>
      <w:r>
        <w:rPr/>
      </w:r>
    </w:p>
    <w:p>
      <w:pPr>
        <w:pStyle w:val="BodyTextIndent"/>
        <w:ind w:start="720" w:end="0"/>
        <w:rPr/>
      </w:pPr>
      <w:r>
        <w:rPr/>
        <w:t>By:___________________________</w:t>
      </w:r>
    </w:p>
    <w:p>
      <w:pPr>
        <w:pStyle w:val="BodyTextIndent"/>
        <w:ind w:start="720" w:end="0"/>
        <w:rPr/>
      </w:pPr>
      <w:r>
        <w:rPr/>
        <w:t>Name:</w:t>
      </w:r>
    </w:p>
    <w:p>
      <w:pPr>
        <w:pStyle w:val="BodyTextIndent"/>
        <w:ind w:start="720" w:end="0"/>
        <w:rPr/>
      </w:pPr>
      <w:r>
        <w:rPr/>
        <w:t>Title:</w:t>
      </w:r>
    </w:p>
    <w:p>
      <w:pPr>
        <w:pStyle w:val="BodyTextIndent"/>
        <w:ind w:start="720" w:end="0"/>
        <w:rPr/>
      </w:pPr>
      <w:del w:id="244" w:author="Peter Meier" w:date="2001-04-18T13:01:00Z">
        <w:r>
          <w:rPr/>
          <w:delText>Address for Notices:</w:delText>
        </w:r>
      </w:del>
    </w:p>
    <w:p>
      <w:pPr>
        <w:pStyle w:val="BodyTextIndent"/>
        <w:ind w:start="0" w:end="0"/>
        <w:rPr/>
      </w:pPr>
      <w:r>
        <w:rPr/>
      </w:r>
      <w:r>
        <w:br w:type="page"/>
      </w:r>
    </w:p>
    <w:p>
      <w:pPr>
        <w:pStyle w:val="BodyTextIndent"/>
        <w:ind w:start="0" w:end="0"/>
        <w:rPr/>
      </w:pPr>
      <w:r>
        <w:rPr/>
      </w:r>
    </w:p>
    <w:p>
      <w:pPr>
        <w:pStyle w:val="BodyTextIndent"/>
        <w:ind w:start="0" w:end="0"/>
        <w:jc w:val="center"/>
        <w:rPr/>
      </w:pPr>
      <w:r>
        <w:rPr/>
        <w:t>EXHIBIT 1</w:t>
      </w:r>
    </w:p>
    <w:p>
      <w:pPr>
        <w:pStyle w:val="BodyTextIndent"/>
        <w:ind w:start="0" w:end="0"/>
        <w:jc w:val="center"/>
        <w:rPr/>
      </w:pPr>
      <w:r>
        <w:rPr/>
      </w:r>
    </w:p>
    <w:p>
      <w:pPr>
        <w:pStyle w:val="BodyTextIndent"/>
        <w:ind w:start="0" w:end="0"/>
        <w:jc w:val="center"/>
        <w:rPr>
          <w:u w:val="single"/>
        </w:rPr>
      </w:pPr>
      <w:r>
        <w:rPr>
          <w:u w:val="single"/>
        </w:rPr>
        <w:t>Gas Transactions</w:t>
      </w:r>
    </w:p>
    <w:p>
      <w:pPr>
        <w:pStyle w:val="BodyTextIndent"/>
        <w:ind w:start="0" w:end="0"/>
        <w:jc w:val="center"/>
        <w:rPr/>
      </w:pPr>
      <w:r>
        <w:rPr/>
      </w:r>
    </w:p>
    <w:p>
      <w:pPr>
        <w:pStyle w:val="BodyTextIndent"/>
        <w:ind w:start="0" w:end="0"/>
        <w:jc w:val="center"/>
        <w:rPr/>
      </w:pPr>
      <w:r>
        <w:rPr/>
      </w:r>
      <w:r>
        <w:br w:type="page"/>
      </w:r>
    </w:p>
    <w:p>
      <w:pPr>
        <w:pStyle w:val="BodyTextIndent"/>
        <w:ind w:start="0" w:end="0"/>
        <w:jc w:val="center"/>
        <w:rPr>
          <w:u w:val="single"/>
        </w:rPr>
      </w:pPr>
      <w:r>
        <w:rPr>
          <w:u w:val="single"/>
        </w:rPr>
      </w:r>
    </w:p>
    <w:p>
      <w:pPr>
        <w:pStyle w:val="BodyTextIndent"/>
        <w:ind w:start="0" w:end="0"/>
        <w:jc w:val="center"/>
        <w:rPr/>
      </w:pPr>
      <w:r>
        <w:rPr/>
        <w:t>EXHIBIT 2</w:t>
      </w:r>
    </w:p>
    <w:p>
      <w:pPr>
        <w:pStyle w:val="BodyTextIndent"/>
        <w:ind w:start="0" w:end="0"/>
        <w:jc w:val="center"/>
        <w:rPr/>
      </w:pPr>
      <w:r>
        <w:rPr/>
      </w:r>
    </w:p>
    <w:p>
      <w:pPr>
        <w:pStyle w:val="BodyTextIndent"/>
        <w:ind w:start="0" w:end="0"/>
        <w:jc w:val="center"/>
        <w:rPr>
          <w:u w:val="single"/>
          <w:del w:id="246" w:author="Peter Meier" w:date="2001-04-18T13:02:00Z"/>
        </w:rPr>
      </w:pPr>
      <w:del w:id="245" w:author="Peter Meier" w:date="2001-04-18T13:02:00Z">
        <w:r>
          <w:rPr>
            <w:u w:val="single"/>
          </w:rPr>
          <w:delText>Initial Pipeline Capacity</w:delText>
        </w:r>
      </w:del>
    </w:p>
    <w:p>
      <w:pPr>
        <w:pStyle w:val="BodyTextIndent"/>
        <w:ind w:start="0" w:end="0"/>
        <w:jc w:val="center"/>
        <w:rPr>
          <w:del w:id="248" w:author="Peter Meier" w:date="2001-04-18T13:02:00Z"/>
        </w:rPr>
      </w:pPr>
      <w:del w:id="247" w:author="Peter Meier" w:date="2001-04-18T13:02:00Z">
        <w:r>
          <w:rPr/>
        </w:r>
      </w:del>
    </w:p>
    <w:p>
      <w:pPr>
        <w:pStyle w:val="BodyTextIndent"/>
        <w:ind w:start="0" w:end="0"/>
        <w:jc w:val="center"/>
        <w:rPr>
          <w:del w:id="250" w:author="Peter Meier" w:date="2001-04-18T13:02:00Z"/>
        </w:rPr>
      </w:pPr>
      <w:del w:id="249" w:author="Peter Meier" w:date="2001-04-18T13:02:00Z">
        <w:r>
          <w:rPr/>
        </w:r>
      </w:del>
      <w:r>
        <w:br w:type="page"/>
      </w:r>
    </w:p>
    <w:p>
      <w:pPr>
        <w:pStyle w:val="BodyTextIndent"/>
        <w:ind w:start="0" w:end="0"/>
        <w:jc w:val="center"/>
        <w:rPr>
          <w:del w:id="252" w:author="Peter Meier" w:date="2001-04-18T13:02:00Z"/>
        </w:rPr>
      </w:pPr>
      <w:del w:id="251" w:author="Peter Meier" w:date="2001-04-18T13:02:00Z">
        <w:r>
          <w:rPr/>
        </w:r>
      </w:del>
    </w:p>
    <w:p>
      <w:pPr>
        <w:pStyle w:val="BodyTextIndent"/>
        <w:ind w:start="0" w:end="0"/>
        <w:jc w:val="center"/>
        <w:rPr>
          <w:del w:id="254" w:author="Peter Meier" w:date="2001-04-18T13:02:00Z"/>
        </w:rPr>
      </w:pPr>
      <w:del w:id="253" w:author="Peter Meier" w:date="2001-04-18T13:02:00Z">
        <w:r>
          <w:rPr/>
          <w:delText>EXHIBIT 3</w:delText>
        </w:r>
      </w:del>
    </w:p>
    <w:p>
      <w:pPr>
        <w:pStyle w:val="BodyTextIndent"/>
        <w:ind w:start="0" w:end="0"/>
        <w:jc w:val="center"/>
        <w:rPr>
          <w:del w:id="256" w:author="Peter Meier" w:date="2001-04-18T13:02:00Z"/>
        </w:rPr>
      </w:pPr>
      <w:del w:id="255" w:author="Peter Meier" w:date="2001-04-18T13:02:00Z">
        <w:r>
          <w:rPr/>
        </w:r>
      </w:del>
    </w:p>
    <w:p>
      <w:pPr>
        <w:pStyle w:val="BodyTextIndent"/>
        <w:ind w:start="0" w:end="0"/>
        <w:jc w:val="center"/>
        <w:rPr>
          <w:u w:val="single"/>
          <w:del w:id="258" w:author="Peter Meier" w:date="2001-04-18T13:02:00Z"/>
        </w:rPr>
      </w:pPr>
      <w:del w:id="257" w:author="Peter Meier" w:date="2001-04-18T13:02:00Z">
        <w:r>
          <w:rPr>
            <w:u w:val="single"/>
          </w:rPr>
          <w:delText>Transfer Notice</w:delText>
        </w:r>
      </w:del>
    </w:p>
    <w:p>
      <w:pPr>
        <w:pStyle w:val="BodyTextIndent"/>
        <w:ind w:start="0" w:end="0"/>
        <w:jc w:val="center"/>
        <w:rPr>
          <w:del w:id="260" w:author="Peter Meier" w:date="2001-04-18T13:02:00Z"/>
        </w:rPr>
      </w:pPr>
      <w:del w:id="259" w:author="Peter Meier" w:date="2001-04-18T13:02:00Z">
        <w:r>
          <w:rPr/>
        </w:r>
      </w:del>
    </w:p>
    <w:p>
      <w:pPr>
        <w:pStyle w:val="BodyTextIndent"/>
        <w:ind w:start="0" w:end="0"/>
        <w:jc w:val="center"/>
        <w:rPr>
          <w:del w:id="262" w:author="Peter Meier" w:date="2001-04-18T13:02:00Z"/>
        </w:rPr>
      </w:pPr>
      <w:del w:id="261" w:author="Peter Meier" w:date="2001-04-18T13:02:00Z">
        <w:r>
          <w:rPr/>
        </w:r>
      </w:del>
      <w:r>
        <w:br w:type="page"/>
      </w:r>
    </w:p>
    <w:p>
      <w:pPr>
        <w:pStyle w:val="BodyTextIndent"/>
        <w:ind w:start="0" w:end="0"/>
        <w:jc w:val="center"/>
        <w:rPr>
          <w:del w:id="264" w:author="Peter Meier" w:date="2001-04-18T13:02:00Z"/>
        </w:rPr>
      </w:pPr>
      <w:del w:id="263" w:author="Peter Meier" w:date="2001-04-18T13:02:00Z">
        <w:r>
          <w:rPr/>
        </w:r>
      </w:del>
    </w:p>
    <w:p>
      <w:pPr>
        <w:pStyle w:val="BodyTextIndent"/>
        <w:ind w:start="0" w:end="0"/>
        <w:jc w:val="center"/>
        <w:rPr>
          <w:del w:id="266" w:author="Peter Meier" w:date="2001-04-18T13:02:00Z"/>
        </w:rPr>
      </w:pPr>
      <w:del w:id="265" w:author="Peter Meier" w:date="2001-04-18T13:02:00Z">
        <w:r>
          <w:rPr/>
          <w:delText>EXHIBIT 4</w:delText>
        </w:r>
      </w:del>
    </w:p>
    <w:p>
      <w:pPr>
        <w:pStyle w:val="BodyTextIndent"/>
        <w:ind w:start="0" w:end="0"/>
        <w:jc w:val="center"/>
        <w:rPr>
          <w:del w:id="268" w:author="Peter Meier" w:date="2001-04-18T13:02:00Z"/>
        </w:rPr>
      </w:pPr>
      <w:del w:id="267" w:author="Peter Meier" w:date="2001-04-18T13:02:00Z">
        <w:r>
          <w:rPr/>
        </w:r>
      </w:del>
    </w:p>
    <w:p>
      <w:pPr>
        <w:pStyle w:val="BodyTextIndent"/>
        <w:ind w:start="0" w:end="0"/>
        <w:jc w:val="center"/>
        <w:rPr>
          <w:u w:val="single"/>
        </w:rPr>
      </w:pPr>
      <w:r>
        <w:rPr>
          <w:u w:val="single"/>
        </w:rPr>
        <w:t>Spread Value</w:t>
      </w:r>
    </w:p>
    <w:sectPr>
      <w:footerReference w:type="default" r:id="rId2"/>
      <w:footerReference w:type="first" r:id="rId3"/>
      <w:type w:val="nextPage"/>
      <w:pgSz w:w="12240" w:h="15840"/>
      <w:pgMar w:left="1800" w:right="1800" w:gutter="0" w:header="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12">
              <wp:simplePos x="0" y="0"/>
              <wp:positionH relativeFrom="margin">
                <wp:align>center</wp:align>
              </wp:positionH>
              <wp:positionV relativeFrom="paragraph">
                <wp:posOffset>635</wp:posOffset>
              </wp:positionV>
              <wp:extent cx="127635"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12763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0.05pt;height:11.55pt;mso-wrap-distance-left:0pt;mso-wrap-distance-right:0pt;mso-wrap-distance-top:0pt;mso-wrap-distance-bottom:0pt;margin-top:0.05pt;mso-position-vertical-relative:text;margin-left:211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1"/>
      <w:numFmt w:val="decimal"/>
      <w:lvlText w:val="%1."/>
      <w:lvlJc w:val="start"/>
      <w:pPr>
        <w:tabs>
          <w:tab w:val="num" w:pos="720"/>
        </w:tabs>
        <w:ind w:start="720" w:hanging="720"/>
      </w:pPr>
      <w:rPr>
        <w:u w:val="single"/>
      </w:rPr>
    </w:lvl>
  </w:abstractNum>
  <w:abstractNum w:abstractNumId="3">
    <w:lvl w:ilvl="0">
      <w:start w:val="1"/>
      <w:numFmt w:val="decimal"/>
      <w:lvlText w:val="%1."/>
      <w:lvlJc w:val="start"/>
      <w:pPr>
        <w:tabs>
          <w:tab w:val="num" w:pos="1440"/>
        </w:tabs>
        <w:ind w:start="1440" w:hanging="720"/>
      </w:pPr>
      <w:rPr/>
    </w:lvl>
  </w:abstractNum>
  <w:abstractNum w:abstractNumId="4">
    <w:lvl w:ilvl="0">
      <w:start w:val="1"/>
      <w:numFmt w:val="decimal"/>
      <w:lvlText w:val="%1."/>
      <w:lvlJc w:val="start"/>
      <w:pPr>
        <w:tabs>
          <w:tab w:val="num" w:pos="1080"/>
        </w:tabs>
        <w:ind w:start="1080" w:hanging="360"/>
      </w:pPr>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jc w:val="center"/>
      <w:outlineLvl w:val="0"/>
    </w:pPr>
    <w:rPr>
      <w:sz w:val="24"/>
      <w:u w:val="single"/>
    </w:rPr>
  </w:style>
  <w:style w:type="paragraph" w:styleId="Heading2">
    <w:name w:val="heading 2"/>
    <w:basedOn w:val="Normal"/>
    <w:next w:val="Normal"/>
    <w:qFormat/>
    <w:pPr>
      <w:keepNext w:val="true"/>
      <w:numPr>
        <w:ilvl w:val="1"/>
        <w:numId w:val="1"/>
      </w:numPr>
      <w:ind w:hanging="0" w:start="720" w:end="0"/>
      <w:jc w:val="center"/>
      <w:outlineLvl w:val="1"/>
    </w:pPr>
    <w:rPr>
      <w:sz w:val="24"/>
      <w:u w:val="single"/>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u w:val="single"/>
    </w:rPr>
  </w:style>
  <w:style w:type="character" w:styleId="WW8Num9z0">
    <w:name w:val="WW8Num9z0"/>
    <w:qFormat/>
    <w:rPr/>
  </w:style>
  <w:style w:type="character" w:styleId="WW8Num10z0">
    <w:name w:val="WW8Num10z0"/>
    <w:qFormat/>
    <w:rPr/>
  </w:style>
  <w:style w:type="character" w:styleId="WW8Num11z0">
    <w:name w:val="WW8Num11z0"/>
    <w:qFormat/>
    <w:rPr/>
  </w:style>
  <w:style w:type="character" w:styleId="WW8Num12z0">
    <w:name w:val="WW8Num12z0"/>
    <w:qFormat/>
    <w:rPr/>
  </w:style>
  <w:style w:type="character" w:styleId="WW8Num13z0">
    <w:name w:val="WW8Num13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hanging="0" w:start="2160" w:end="0"/>
      <w:jc w:val="both"/>
    </w:pPr>
    <w:rPr>
      <w:sz w:val="24"/>
    </w:rPr>
  </w:style>
  <w:style w:type="paragraph" w:styleId="BodyTextIndent2">
    <w:name w:val="Body Text Indent 2"/>
    <w:basedOn w:val="Normal"/>
    <w:qFormat/>
    <w:pPr>
      <w:tabs>
        <w:tab w:val="clear" w:pos="720"/>
        <w:tab w:val="left" w:pos="3330" w:leader="none"/>
      </w:tabs>
      <w:spacing w:before="0" w:after="120"/>
      <w:ind w:hanging="0" w:start="1440" w:end="0"/>
      <w:jc w:val="both"/>
    </w:pPr>
    <w:rPr>
      <w:sz w:val="24"/>
    </w:rPr>
  </w:style>
  <w:style w:type="paragraph" w:styleId="Header">
    <w:name w:val="header"/>
    <w:basedOn w:val="Normal"/>
    <w:pPr>
      <w:tabs>
        <w:tab w:val="clear" w:pos="720"/>
        <w:tab w:val="center" w:pos="4320" w:leader="none"/>
        <w:tab w:val="right" w:pos="8640" w:leader="none"/>
      </w:tabs>
    </w:pPr>
    <w:rPr/>
  </w:style>
  <w:style w:type="paragraph" w:styleId="BodyTextIndent3">
    <w:name w:val="Body Text Indent 3"/>
    <w:basedOn w:val="Normal"/>
    <w:qFormat/>
    <w:pPr>
      <w:ind w:hanging="0" w:start="1080" w:end="0"/>
      <w:jc w:val="both"/>
    </w:pPr>
    <w:rPr>
      <w:sz w:val="24"/>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298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2001-04-18T14:34:00Z</dcterms:created>
  <dc:creator>Peter Meier</dc:creator>
  <dc:description/>
  <dc:language>en-CA</dc:language>
  <cp:lastModifiedBy>lmellen</cp:lastModifiedBy>
  <cp:lastPrinted>2001-04-18T13:59:00Z</cp:lastPrinted>
  <dcterms:modified xsi:type="dcterms:W3CDTF">2001-04-18T21:29:00Z</dcterms:modified>
  <cp:revision>7</cp:revision>
  <dc:subject/>
  <dc:title>AGREEMENT WITH RESPECT TO GAS TRANSPORTATION</dc:title>
</cp:coreProperties>
</file>