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kzidenz Grotesk Light;Arial Narrow" w:ascii="Akzidenz Grotesk Light;Arial Narrow" w:hAnsi="Akzidenz Grotesk Light;Arial Narrow"/>
          <w:b/>
          <w:sz w:val="28"/>
        </w:rPr>
        <w:t>Long Term Natural Gas Swap</w:t>
        <w:br/>
      </w:r>
      <w:r>
        <w:rPr>
          <w:rFonts w:cs="Akzidenz Grotesk Light;Arial Narrow" w:ascii="Akzidenz Grotesk Light;Arial Narrow" w:hAnsi="Akzidenz Grotesk Light;Arial Narrow"/>
          <w:sz w:val="24"/>
        </w:rPr>
        <w:t>Indicative Terms and Conditions</w:t>
      </w:r>
    </w:p>
    <w:p>
      <w:pPr>
        <w:pStyle w:val="Normal"/>
        <w:jc w:val="center"/>
        <w:rPr>
          <w:rFonts w:ascii="Akzidenz Grotesk Light;Arial Narrow" w:hAnsi="Akzidenz Grotesk Light;Arial Narrow" w:cs="Akzidenz Grotesk Light;Arial Narrow"/>
          <w:sz w:val="24"/>
        </w:rPr>
      </w:pPr>
      <w:r>
        <w:rPr>
          <w:rFonts w:cs="Akzidenz Grotesk Light;Arial Narrow" w:ascii="Akzidenz Grotesk Light;Arial Narrow" w:hAnsi="Akzidenz Grotesk Light;Arial Narrow"/>
          <w:sz w:val="24"/>
        </w:rPr>
      </w:r>
    </w:p>
    <w:tbl>
      <w:tblPr>
        <w:tblW w:w="8827" w:type="dxa"/>
        <w:jc w:val="start"/>
        <w:tblInd w:w="-72" w:type="dxa"/>
        <w:tblLayout w:type="fixed"/>
        <w:tblCellMar>
          <w:top w:w="0" w:type="dxa"/>
          <w:start w:w="108" w:type="dxa"/>
          <w:bottom w:w="0" w:type="dxa"/>
          <w:end w:w="108" w:type="dxa"/>
        </w:tblCellMar>
      </w:tblPr>
      <w:tblGrid>
        <w:gridCol w:w="2590"/>
        <w:gridCol w:w="6237"/>
      </w:tblGrid>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Counterparties to the Transaction:</w:t>
            </w:r>
          </w:p>
        </w:tc>
        <w:tc>
          <w:tcPr>
            <w:tcW w:w="6237" w:type="dxa"/>
            <w:tcBorders/>
          </w:tcPr>
          <w:p>
            <w:pPr>
              <w:pStyle w:val="Heading1"/>
              <w:spacing w:before="0" w:after="20"/>
              <w:ind w:hanging="0" w:start="0"/>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t>XYZ Gas Company</w:t>
              <w:br/>
              <w:t>Credit Suisse First Boston International (“CSFBi”)</w:t>
            </w:r>
          </w:p>
        </w:tc>
      </w:tr>
      <w:tr>
        <w:trPr>
          <w:trHeight w:val="346" w:hRule="atLeast"/>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Party A:</w:t>
            </w:r>
          </w:p>
        </w:tc>
        <w:tc>
          <w:tcPr>
            <w:tcW w:w="6237" w:type="dxa"/>
            <w:tcBorders/>
          </w:tcPr>
          <w:p>
            <w:pPr>
              <w:pStyle w:val="Heading1"/>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CSFBi</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Party B:</w:t>
            </w:r>
          </w:p>
        </w:tc>
        <w:tc>
          <w:tcPr>
            <w:tcW w:w="6237" w:type="dxa"/>
            <w:tcBorders/>
          </w:tcPr>
          <w:p>
            <w:pPr>
              <w:pStyle w:val="Heading1"/>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XYZ</w:t>
            </w:r>
          </w:p>
        </w:tc>
      </w:tr>
      <w:tr>
        <w:trPr/>
        <w:tc>
          <w:tcPr>
            <w:tcW w:w="2590" w:type="dxa"/>
            <w:tcBorders/>
          </w:tcPr>
          <w:p>
            <w:pPr>
              <w:pStyle w:val="Normal"/>
              <w:snapToGrid w:val="false"/>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c>
          <w:tcPr>
            <w:tcW w:w="6237" w:type="dxa"/>
            <w:tcBorders/>
          </w:tcPr>
          <w:p>
            <w:pPr>
              <w:pStyle w:val="Heading1"/>
              <w:snapToGrid w:val="false"/>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Trade Date:</w:t>
            </w:r>
          </w:p>
        </w:tc>
        <w:tc>
          <w:tcPr>
            <w:tcW w:w="6237" w:type="dxa"/>
            <w:tcBorders/>
          </w:tcPr>
          <w:p>
            <w:pPr>
              <w:pStyle w:val="Heading1"/>
              <w:spacing w:before="0" w:after="20"/>
              <w:ind w:hanging="0" w:start="0"/>
              <w:rPr>
                <w:rFonts w:ascii="Akzidenz Grotesk Light;Arial Narrow" w:hAnsi="Akzidenz Grotesk Light;Arial Narrow" w:cs="Akzidenz Grotesk Light;Arial Narrow"/>
                <w:i/>
                <w:i/>
                <w:sz w:val="22"/>
              </w:rPr>
            </w:pPr>
            <w:r>
              <w:rPr>
                <w:rFonts w:cs="Akzidenz Grotesk Light;Arial Narrow" w:ascii="Akzidenz Grotesk Light;Arial Narrow" w:hAnsi="Akzidenz Grotesk Light;Arial Narrow"/>
                <w:i/>
                <w:sz w:val="22"/>
              </w:rPr>
              <w:t>To Be Determined</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Effective Date:</w:t>
            </w:r>
          </w:p>
        </w:tc>
        <w:tc>
          <w:tcPr>
            <w:tcW w:w="6237" w:type="dxa"/>
            <w:tcBorders/>
          </w:tcPr>
          <w:p>
            <w:pPr>
              <w:pStyle w:val="Heading1"/>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January 1, 2001</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Maturity Date:</w:t>
            </w:r>
          </w:p>
        </w:tc>
        <w:tc>
          <w:tcPr>
            <w:tcW w:w="6237" w:type="dxa"/>
            <w:tcBorders/>
          </w:tcPr>
          <w:p>
            <w:pPr>
              <w:pStyle w:val="Heading1"/>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December 31, 2012</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Commodity:</w:t>
            </w:r>
          </w:p>
        </w:tc>
        <w:tc>
          <w:tcPr>
            <w:tcW w:w="6237" w:type="dxa"/>
            <w:tcBorders/>
          </w:tcPr>
          <w:p>
            <w:pPr>
              <w:pStyle w:val="Normal"/>
              <w:tabs>
                <w:tab w:val="clear" w:pos="1440"/>
                <w:tab w:val="left" w:pos="1739" w:leader="none"/>
              </w:tabs>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Natural Gas – Columbia Gas Transmission Corp. (TCO) and</w:t>
              <w:br/>
              <w:t>Natural Gas – CNG Transmission Corp. (CNG)</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Commodity Unit:</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MMBtu (One Million British Thermal Units)</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 xml:space="preserve">Notional Quantity per Calculation Period: </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As per attached schedules (Appendices 1 &amp; 2)</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Additional Notional Quantity Calculation Terms and Conditions:</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 xml:space="preserve">For the purposes of the calculations of both the floating and fixed amounts, MMBtu prices shall be rounded to four places. If the number after the final number is five (5) or greater, then the final number shall be increased by one (1), otherwise the number shall remain unchanged. </w:t>
            </w:r>
          </w:p>
        </w:tc>
      </w:tr>
      <w:tr>
        <w:trPr/>
        <w:tc>
          <w:tcPr>
            <w:tcW w:w="2590" w:type="dxa"/>
            <w:tcBorders/>
          </w:tcPr>
          <w:p>
            <w:pPr>
              <w:pStyle w:val="Normal"/>
              <w:snapToGrid w:val="false"/>
              <w:spacing w:before="0" w:after="20"/>
              <w:ind w:end="-108"/>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r>
          </w:p>
        </w:tc>
        <w:tc>
          <w:tcPr>
            <w:tcW w:w="6237" w:type="dxa"/>
            <w:tcBorders/>
          </w:tcPr>
          <w:p>
            <w:pPr>
              <w:pStyle w:val="Normal"/>
              <w:snapToGrid w:val="false"/>
              <w:spacing w:before="0" w:after="20"/>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r>
          </w:p>
        </w:tc>
      </w:tr>
      <w:tr>
        <w:trPr/>
        <w:tc>
          <w:tcPr>
            <w:tcW w:w="2590" w:type="dxa"/>
            <w:tcBorders/>
          </w:tcPr>
          <w:p>
            <w:pPr>
              <w:pStyle w:val="Normal"/>
              <w:spacing w:before="0" w:after="20"/>
              <w:ind w:end="-108"/>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t>Fixed Amount Details</w:t>
            </w:r>
          </w:p>
        </w:tc>
        <w:tc>
          <w:tcPr>
            <w:tcW w:w="6237" w:type="dxa"/>
            <w:tcBorders/>
          </w:tcPr>
          <w:p>
            <w:pPr>
              <w:pStyle w:val="Normal"/>
              <w:snapToGrid w:val="false"/>
              <w:spacing w:before="0" w:after="20"/>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Fixed Rate Payer:</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Party A (CSFBi)</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TCO Fixed Rate:</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As per attached Schedule (Appendix 1)</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CNG Fixed Rate:</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As per attached Schedule (Appendix 2)</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Fixed Rate Calculation Dates:</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 xml:space="preserve">The first business day of each calendar month beginning with January 1, 2001 and ending on December 1, 2012. </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Fixed Rate Payment Dates:</w:t>
            </w:r>
          </w:p>
        </w:tc>
        <w:tc>
          <w:tcPr>
            <w:tcW w:w="6237" w:type="dxa"/>
            <w:tcBorders/>
          </w:tcPr>
          <w:p>
            <w:pPr>
              <w:pStyle w:val="Normal"/>
              <w:spacing w:before="0" w:after="20"/>
              <w:rPr/>
            </w:pPr>
            <w:r>
              <w:rPr>
                <w:rFonts w:cs="Akzidenz Grotesk Light;Arial Narrow" w:ascii="Akzidenz Grotesk Light;Arial Narrow" w:hAnsi="Akzidenz Grotesk Light;Arial Narrow"/>
                <w:sz w:val="22"/>
              </w:rPr>
              <w:t>The 15</w:t>
            </w:r>
            <w:r>
              <w:rPr>
                <w:rFonts w:cs="Akzidenz Grotesk Light;Arial Narrow" w:ascii="Akzidenz Grotesk Light;Arial Narrow" w:hAnsi="Akzidenz Grotesk Light;Arial Narrow"/>
                <w:sz w:val="22"/>
                <w:vertAlign w:val="superscript"/>
              </w:rPr>
              <w:t>th</w:t>
            </w:r>
            <w:r>
              <w:rPr>
                <w:rFonts w:cs="Akzidenz Grotesk Light;Arial Narrow" w:ascii="Akzidenz Grotesk Light;Arial Narrow" w:hAnsi="Akzidenz Grotesk Light;Arial Narrow"/>
                <w:sz w:val="22"/>
              </w:rPr>
              <w:t xml:space="preserve"> of each month commencing on March 15, 2001 and continuing to and including February 15, 2013. </w:t>
            </w:r>
          </w:p>
        </w:tc>
      </w:tr>
      <w:tr>
        <w:trPr/>
        <w:tc>
          <w:tcPr>
            <w:tcW w:w="2590" w:type="dxa"/>
            <w:tcBorders/>
          </w:tcPr>
          <w:p>
            <w:pPr>
              <w:pStyle w:val="Normal"/>
              <w:snapToGrid w:val="false"/>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c>
          <w:tcPr>
            <w:tcW w:w="6237" w:type="dxa"/>
            <w:tcBorders/>
          </w:tcPr>
          <w:p>
            <w:pPr>
              <w:pStyle w:val="Heading1"/>
              <w:snapToGrid w:val="false"/>
              <w:spacing w:before="0" w:after="20"/>
              <w:ind w:hanging="0" w:start="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r>
      <w:tr>
        <w:trPr/>
        <w:tc>
          <w:tcPr>
            <w:tcW w:w="2590" w:type="dxa"/>
            <w:tcBorders/>
          </w:tcPr>
          <w:p>
            <w:pPr>
              <w:pStyle w:val="Normal"/>
              <w:spacing w:before="0" w:after="20"/>
              <w:ind w:end="-108"/>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t>Floating Amount Details</w:t>
            </w:r>
          </w:p>
        </w:tc>
        <w:tc>
          <w:tcPr>
            <w:tcW w:w="6237" w:type="dxa"/>
            <w:tcBorders/>
          </w:tcPr>
          <w:p>
            <w:pPr>
              <w:pStyle w:val="Normal"/>
              <w:snapToGrid w:val="false"/>
              <w:spacing w:before="0" w:after="20"/>
              <w:rPr>
                <w:rFonts w:ascii="Akzidenz Grotesk Light;Arial Narrow" w:hAnsi="Akzidenz Grotesk Light;Arial Narrow" w:cs="Akzidenz Grotesk Light;Arial Narrow"/>
                <w:b/>
                <w:sz w:val="22"/>
              </w:rPr>
            </w:pPr>
            <w:r>
              <w:rPr>
                <w:rFonts w:cs="Akzidenz Grotesk Light;Arial Narrow" w:ascii="Akzidenz Grotesk Light;Arial Narrow" w:hAnsi="Akzidenz Grotesk Light;Arial Narrow"/>
                <w:b/>
                <w:sz w:val="22"/>
              </w:rPr>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Floating Rate Payer:</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Party B (XYZ)</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TCO Floating Rate and Calculation Dates:</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The “Inside FERC Index” price for Columbia Gas Transmission Corp. (TCO) natural gas as published in the “Inside FERC Gas Market Report” on the first business day of each calendar month, commencing with January 1, 2001 and ending on December 1, 2012.</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CNG Floating Rate and Calculation Dates:</w:t>
            </w:r>
          </w:p>
        </w:tc>
        <w:tc>
          <w:tcPr>
            <w:tcW w:w="6237" w:type="dxa"/>
            <w:tcBorders/>
          </w:tcPr>
          <w:p>
            <w:pPr>
              <w:pStyle w:val="Normal"/>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The “Inside FERC Index” price for CNG Transmission Corp. (CNG) natural gas as published in the “Inside FERC Gas Market Report” on the first business day of each calendar month commencing with January 1, 2001 and ending on December 1, 2012..</w:t>
            </w:r>
          </w:p>
        </w:tc>
      </w:tr>
      <w:tr>
        <w:trPr/>
        <w:tc>
          <w:tcPr>
            <w:tcW w:w="2590" w:type="dxa"/>
            <w:tcBorders/>
          </w:tcPr>
          <w:p>
            <w:pPr>
              <w:pStyle w:val="Normal"/>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t>Floating Rate Payment Dates:</w:t>
            </w:r>
          </w:p>
        </w:tc>
        <w:tc>
          <w:tcPr>
            <w:tcW w:w="6237" w:type="dxa"/>
            <w:tcBorders/>
          </w:tcPr>
          <w:p>
            <w:pPr>
              <w:pStyle w:val="Normal"/>
              <w:spacing w:before="0" w:after="20"/>
              <w:rPr/>
            </w:pPr>
            <w:r>
              <w:rPr>
                <w:rFonts w:cs="Akzidenz Grotesk Light;Arial Narrow" w:ascii="Akzidenz Grotesk Light;Arial Narrow" w:hAnsi="Akzidenz Grotesk Light;Arial Narrow"/>
                <w:sz w:val="22"/>
              </w:rPr>
              <w:t>The 15</w:t>
            </w:r>
            <w:r>
              <w:rPr>
                <w:rFonts w:cs="Akzidenz Grotesk Light;Arial Narrow" w:ascii="Akzidenz Grotesk Light;Arial Narrow" w:hAnsi="Akzidenz Grotesk Light;Arial Narrow"/>
                <w:sz w:val="22"/>
                <w:vertAlign w:val="superscript"/>
              </w:rPr>
              <w:t>th</w:t>
            </w:r>
            <w:r>
              <w:rPr>
                <w:rFonts w:cs="Akzidenz Grotesk Light;Arial Narrow" w:ascii="Akzidenz Grotesk Light;Arial Narrow" w:hAnsi="Akzidenz Grotesk Light;Arial Narrow"/>
                <w:sz w:val="22"/>
              </w:rPr>
              <w:t xml:space="preserve"> of each month commencing on March 15, 2001 and continuing to and including February 15, 2013. </w:t>
            </w:r>
          </w:p>
        </w:tc>
      </w:tr>
      <w:tr>
        <w:trPr/>
        <w:tc>
          <w:tcPr>
            <w:tcW w:w="2590" w:type="dxa"/>
            <w:tcBorders/>
          </w:tcPr>
          <w:p>
            <w:pPr>
              <w:pStyle w:val="Normal"/>
              <w:snapToGrid w:val="false"/>
              <w:spacing w:before="0" w:after="20"/>
              <w:ind w:end="-108"/>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c>
          <w:tcPr>
            <w:tcW w:w="6237" w:type="dxa"/>
            <w:tcBorders/>
          </w:tcPr>
          <w:p>
            <w:pPr>
              <w:pStyle w:val="Normal"/>
              <w:tabs>
                <w:tab w:val="clear" w:pos="1440"/>
                <w:tab w:val="left" w:pos="1739" w:leader="none"/>
              </w:tabs>
              <w:snapToGrid w:val="false"/>
              <w:spacing w:before="0" w:after="20"/>
              <w:rPr>
                <w:rFonts w:ascii="Akzidenz Grotesk Light;Arial Narrow" w:hAnsi="Akzidenz Grotesk Light;Arial Narrow" w:cs="Akzidenz Grotesk Light;Arial Narrow"/>
                <w:sz w:val="22"/>
              </w:rPr>
            </w:pPr>
            <w:r>
              <w:rPr>
                <w:rFonts w:cs="Akzidenz Grotesk Light;Arial Narrow" w:ascii="Akzidenz Grotesk Light;Arial Narrow" w:hAnsi="Akzidenz Grotesk Light;Arial Narrow"/>
                <w:sz w:val="22"/>
              </w:rPr>
            </w:r>
          </w:p>
        </w:tc>
      </w:tr>
    </w:tbl>
    <w:p>
      <w:pPr>
        <w:pStyle w:val="FootnoteText"/>
        <w:jc w:val="center"/>
        <w:rPr/>
      </w:pPr>
      <w:r>
        <w:rPr/>
      </w:r>
    </w:p>
    <w:p>
      <w:pPr>
        <w:pStyle w:val="FootnoteText"/>
        <w:jc w:val="center"/>
        <w:rPr/>
      </w:pPr>
      <w:r>
        <w:rPr/>
      </w:r>
      <w:r>
        <w:br w:type="page"/>
      </w:r>
    </w:p>
    <w:p>
      <w:pPr>
        <w:pStyle w:val="FootnoteText"/>
        <w:jc w:val="center"/>
        <w:rPr>
          <w:rFonts w:ascii="Akzidenz Grotesk Light;Arial Narrow" w:hAnsi="Akzidenz Grotesk Light;Arial Narrow" w:cs="Akzidenz Grotesk Light;Arial Narrow"/>
          <w:b/>
          <w:sz w:val="28"/>
        </w:rPr>
      </w:pPr>
      <w:r>
        <w:rPr>
          <w:rFonts w:cs="Akzidenz Grotesk Light;Arial Narrow" w:ascii="Akzidenz Grotesk Light;Arial Narrow" w:hAnsi="Akzidenz Grotesk Light;Arial Narrow"/>
          <w:b/>
          <w:sz w:val="28"/>
        </w:rPr>
        <w:t>Appendix 1</w:t>
        <w:br/>
        <w:t>Natural Gas Swap Notional Amount and Fixed Rate Schedule</w:t>
      </w:r>
    </w:p>
    <w:p>
      <w:pPr>
        <w:pStyle w:val="FootnoteText"/>
        <w:jc w:val="center"/>
        <w:rPr>
          <w:rFonts w:ascii="Akzidenz Grotesk Light;Arial Narrow" w:hAnsi="Akzidenz Grotesk Light;Arial Narrow" w:cs="Akzidenz Grotesk Light;Arial Narrow"/>
          <w:b/>
          <w:sz w:val="28"/>
        </w:rPr>
      </w:pPr>
      <w:r>
        <w:rPr>
          <w:rFonts w:cs="Akzidenz Grotesk Light;Arial Narrow" w:ascii="Akzidenz Grotesk Light;Arial Narrow" w:hAnsi="Akzidenz Grotesk Light;Arial Narrow"/>
          <w:b/>
          <w:sz w:val="28"/>
        </w:rPr>
        <w:t>TCO Monthly Gas Volumes and Fixed Rate</w:t>
      </w:r>
    </w:p>
    <w:p>
      <w:pPr>
        <w:pStyle w:val="Normal"/>
        <w:jc w:val="center"/>
        <w:rPr>
          <w:rFonts w:ascii="Akzidenz Grotesk Light;Arial Narrow" w:hAnsi="Akzidenz Grotesk Light;Arial Narrow" w:cs="Akzidenz Grotesk Light;Arial Narrow"/>
          <w:b/>
          <w:sz w:val="16"/>
        </w:rPr>
      </w:pPr>
      <w:r>
        <w:rPr>
          <w:rFonts w:cs="Akzidenz Grotesk Light;Arial Narrow" w:ascii="Akzidenz Grotesk Light;Arial Narrow" w:hAnsi="Akzidenz Grotesk Light;Arial Narrow"/>
          <w:b/>
          <w:sz w:val="16"/>
        </w:rPr>
      </w:r>
    </w:p>
    <w:tbl>
      <w:tblPr>
        <w:tblW w:w="8540" w:type="dxa"/>
        <w:jc w:val="start"/>
        <w:tblInd w:w="-15" w:type="dxa"/>
        <w:tblLayout w:type="fixed"/>
        <w:tblCellMar>
          <w:top w:w="0" w:type="dxa"/>
          <w:start w:w="0" w:type="dxa"/>
          <w:bottom w:w="0" w:type="dxa"/>
          <w:end w:w="0" w:type="dxa"/>
        </w:tblCellMar>
      </w:tblPr>
      <w:tblGrid>
        <w:gridCol w:w="1800"/>
        <w:gridCol w:w="1560"/>
        <w:gridCol w:w="1800"/>
        <w:gridCol w:w="1840"/>
        <w:gridCol w:w="1540"/>
      </w:tblGrid>
      <w:tr>
        <w:trPr>
          <w:trHeight w:val="585"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Gas Delivery Month</w:t>
            </w:r>
          </w:p>
        </w:tc>
        <w:tc>
          <w:tcPr>
            <w:tcW w:w="1560" w:type="dxa"/>
            <w:tcBorders>
              <w:top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Gas Market Report Date</w:t>
            </w:r>
          </w:p>
        </w:tc>
        <w:tc>
          <w:tcPr>
            <w:tcW w:w="180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Swap Settlement Date</w:t>
            </w:r>
          </w:p>
        </w:tc>
        <w:tc>
          <w:tcPr>
            <w:tcW w:w="18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Monthly Volume in MMBtu's</w:t>
            </w:r>
          </w:p>
        </w:tc>
        <w:tc>
          <w:tcPr>
            <w:tcW w:w="15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TCO All in Rate</w:t>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January-01</w:t>
            </w:r>
          </w:p>
        </w:tc>
        <w:tc>
          <w:tcPr>
            <w:tcW w:w="15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17-Dec-2001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17-Jun-2002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16-Sep-2002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16-Dec-2002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18-Feb-2003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17-Mar-2003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16-Jun-2003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17-Nov-2003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December-03</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1-Dec-03</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17-Feb-2004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17-May-2004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16-Aug-2004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15-Dec-2004</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18-Jan-2005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December-04</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1-Dec-04</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16-May-2005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17-Oct-2005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15-Dec-2005</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17-Jan-2006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December-05</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1-Dec-05</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17-Apr-2006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17-Jul-2006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16-Oct-2006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15-Dec-2006</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16-Jan-2007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December-06</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1-Dec-06</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17-Dec-2007</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December-07</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1-Dec-07</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17-Mar-2008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16-Jun-2008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17-Nov-2008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15-Dec-2008</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December-08</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1-Dec-08</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17-Feb-2009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16-Mar-2009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17-Aug-2009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16-Nov-2009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15-Dec-2009</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December-09</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1-Dec-09</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16-Feb-2010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17-May-2010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16-Aug-2010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15-Dec-2010</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18-Jan-2011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December-10</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1-Dec-10</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16-May-2011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17-Oct-2011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15-Dec-2011</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17-Jan-2012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December-11</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1-Dec-11</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January-12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1-Jan-12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February-12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March-12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1-Mar-12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April-12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1-Apr-12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May-12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1-May-12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June-12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1-Jun-12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July-12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1-Jul-12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August-12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1-Aug-12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September-12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1-Sep-12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October-12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1-Oct-12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17-Dec-2012</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tcBorders>
            <w:vAlign w:val="bottom"/>
          </w:tcPr>
          <w:p>
            <w:pPr>
              <w:pStyle w:val="Normal"/>
              <w:jc w:val="center"/>
              <w:rPr>
                <w:rFonts w:ascii="Arial" w:hAnsi="Arial" w:eastAsia="Arial Unicode MS" w:cs="Arial"/>
              </w:rPr>
            </w:pPr>
            <w:r>
              <w:rPr>
                <w:rFonts w:cs="Arial" w:ascii="Arial" w:hAnsi="Arial"/>
              </w:rPr>
              <w:t>November-12</w:t>
            </w:r>
          </w:p>
        </w:tc>
        <w:tc>
          <w:tcPr>
            <w:tcW w:w="156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1-Nov-12</w:t>
            </w:r>
          </w:p>
        </w:tc>
        <w:tc>
          <w:tcPr>
            <w:tcW w:w="180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15-Jan-2013</w:t>
            </w:r>
          </w:p>
        </w:tc>
        <w:tc>
          <w:tcPr>
            <w:tcW w:w="18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00" w:type="dxa"/>
            <w:tcBorders>
              <w:start w:val="single" w:sz="4" w:space="0" w:color="000000"/>
              <w:bottom w:val="single" w:sz="4" w:space="0" w:color="000000"/>
            </w:tcBorders>
            <w:vAlign w:val="bottom"/>
          </w:tcPr>
          <w:p>
            <w:pPr>
              <w:pStyle w:val="Normal"/>
              <w:jc w:val="center"/>
              <w:rPr>
                <w:rFonts w:ascii="Arial" w:hAnsi="Arial" w:eastAsia="Arial Unicode MS" w:cs="Arial"/>
              </w:rPr>
            </w:pPr>
            <w:r>
              <w:rPr>
                <w:rFonts w:cs="Arial" w:ascii="Arial" w:hAnsi="Arial"/>
              </w:rPr>
              <w:t>December-12</w:t>
            </w:r>
          </w:p>
        </w:tc>
        <w:tc>
          <w:tcPr>
            <w:tcW w:w="1560"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1-Dec-12</w:t>
            </w:r>
          </w:p>
        </w:tc>
        <w:tc>
          <w:tcPr>
            <w:tcW w:w="1800"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15-Feb-2013</w:t>
            </w:r>
          </w:p>
        </w:tc>
        <w:tc>
          <w:tcPr>
            <w:tcW w:w="1840"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540"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bl>
    <w:p>
      <w:pPr>
        <w:pStyle w:val="Normal"/>
        <w:jc w:val="center"/>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jc w:val="center"/>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r>
        <w:br w:type="page"/>
      </w:r>
    </w:p>
    <w:p>
      <w:pPr>
        <w:pStyle w:val="FootnoteText"/>
        <w:jc w:val="center"/>
        <w:rPr>
          <w:rFonts w:ascii="Akzidenz Grotesk Light;Arial Narrow" w:hAnsi="Akzidenz Grotesk Light;Arial Narrow" w:cs="Akzidenz Grotesk Light;Arial Narrow"/>
          <w:b/>
          <w:sz w:val="28"/>
        </w:rPr>
      </w:pPr>
      <w:r>
        <w:rPr>
          <w:rFonts w:cs="Akzidenz Grotesk Light;Arial Narrow" w:ascii="Akzidenz Grotesk Light;Arial Narrow" w:hAnsi="Akzidenz Grotesk Light;Arial Narrow"/>
          <w:b/>
          <w:sz w:val="28"/>
        </w:rPr>
        <w:t>Appendix 2</w:t>
        <w:br/>
        <w:t>Natural Gas Swap Notional Amount and Fixed Rate Schedule</w:t>
      </w:r>
    </w:p>
    <w:p>
      <w:pPr>
        <w:pStyle w:val="FootnoteText"/>
        <w:jc w:val="center"/>
        <w:rPr>
          <w:rFonts w:ascii="Akzidenz Grotesk Light;Arial Narrow" w:hAnsi="Akzidenz Grotesk Light;Arial Narrow" w:cs="Akzidenz Grotesk Light;Arial Narrow"/>
          <w:b/>
          <w:sz w:val="28"/>
        </w:rPr>
      </w:pPr>
      <w:r>
        <w:rPr>
          <w:rFonts w:cs="Akzidenz Grotesk Light;Arial Narrow" w:ascii="Akzidenz Grotesk Light;Arial Narrow" w:hAnsi="Akzidenz Grotesk Light;Arial Narrow"/>
          <w:b/>
          <w:sz w:val="28"/>
        </w:rPr>
        <w:t>CNG Monthly Gas Volumes and Fixed Rate</w:t>
      </w:r>
    </w:p>
    <w:p>
      <w:pPr>
        <w:pStyle w:val="FootnoteText"/>
        <w:jc w:val="center"/>
        <w:rPr>
          <w:rFonts w:ascii="Akzidenz Grotesk Light;Arial Narrow" w:hAnsi="Akzidenz Grotesk Light;Arial Narrow" w:cs="Akzidenz Grotesk Light;Arial Narrow"/>
          <w:b/>
          <w:sz w:val="28"/>
        </w:rPr>
      </w:pPr>
      <w:r>
        <w:rPr>
          <w:rFonts w:cs="Akzidenz Grotesk Light;Arial Narrow" w:ascii="Akzidenz Grotesk Light;Arial Narrow" w:hAnsi="Akzidenz Grotesk Light;Arial Narrow"/>
          <w:b/>
          <w:sz w:val="28"/>
        </w:rPr>
      </w:r>
    </w:p>
    <w:tbl>
      <w:tblPr>
        <w:tblW w:w="8480" w:type="dxa"/>
        <w:jc w:val="start"/>
        <w:tblInd w:w="-15" w:type="dxa"/>
        <w:tblLayout w:type="fixed"/>
        <w:tblCellMar>
          <w:top w:w="0" w:type="dxa"/>
          <w:start w:w="0" w:type="dxa"/>
          <w:bottom w:w="0" w:type="dxa"/>
          <w:end w:w="0" w:type="dxa"/>
        </w:tblCellMar>
      </w:tblPr>
      <w:tblGrid>
        <w:gridCol w:w="1820"/>
        <w:gridCol w:w="1480"/>
        <w:gridCol w:w="1840"/>
        <w:gridCol w:w="1740"/>
        <w:gridCol w:w="1600"/>
      </w:tblGrid>
      <w:tr>
        <w:trPr>
          <w:trHeight w:val="585" w:hRule="atLeast"/>
        </w:trPr>
        <w:tc>
          <w:tcPr>
            <w:tcW w:w="18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Gas Delivery Month</w:t>
            </w:r>
          </w:p>
        </w:tc>
        <w:tc>
          <w:tcPr>
            <w:tcW w:w="148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Gas Market Report Date</w:t>
            </w:r>
          </w:p>
        </w:tc>
        <w:tc>
          <w:tcPr>
            <w:tcW w:w="18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Swap Settlement Date</w:t>
            </w:r>
          </w:p>
        </w:tc>
        <w:tc>
          <w:tcPr>
            <w:tcW w:w="174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Monthly Volume in MMBtu's</w:t>
            </w:r>
          </w:p>
        </w:tc>
        <w:tc>
          <w:tcPr>
            <w:tcW w:w="1600" w:type="dxa"/>
            <w:tcBorders>
              <w:top w:val="single" w:sz="4" w:space="0" w:color="000000"/>
              <w:bottom w:val="single" w:sz="4" w:space="0" w:color="000000"/>
              <w:end w:val="single" w:sz="4" w:space="0" w:color="000000"/>
            </w:tcBorders>
            <w:vAlign w:val="center"/>
          </w:tcPr>
          <w:p>
            <w:pPr>
              <w:pStyle w:val="Normal"/>
              <w:jc w:val="center"/>
              <w:rPr>
                <w:rFonts w:ascii="Arial" w:hAnsi="Arial" w:eastAsia="Arial Unicode MS" w:cs="Arial"/>
                <w:b/>
              </w:rPr>
            </w:pPr>
            <w:r>
              <w:rPr>
                <w:rFonts w:cs="Arial" w:ascii="Arial" w:hAnsi="Arial"/>
                <w:b/>
              </w:rPr>
              <w:t>CNG All in Rate</w:t>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17-Dec-2001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17-Jun-2002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16-Sep-2002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16-Dec-2002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18-Feb-2003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17-Mar-2003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16-Jun-2003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17-Nov-2003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December-03</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1-Dec-03</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17-Feb-2004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17-May-2004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16-Aug-2004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15-Dec-2004</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18-Jan-2005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December-04</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1-Dec-04</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16-May-2005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17-Oct-2005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15-Dec-2005</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17-Jan-2006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December-05</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1-Dec-05</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17-Apr-2006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17-Jul-2006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16-Oct-2006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15-Dec-2006</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16-Jan-2007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December-06</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1-Dec-06</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17-Dec-2007</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December-07</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1-Dec-07</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17-Mar-2008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16-Jun-2008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17-Nov-2008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15-Dec-2008</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December-08</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1-Dec-08</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17-Feb-2009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16-Mar-2009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17-Aug-2009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16-Nov-2009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15-Dec-2009</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December-09</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1-Dec-09</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16-Feb-2010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17-May-2010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16-Aug-2010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15-Dec-2010</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18-Jan-2011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December-10</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1-Dec-10</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15-Apr-2011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16-May-2011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15-Jul-2011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15-Sep-2011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17-Oct-2011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15-Dec-2011</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17-Jan-2012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December-11</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1-Dec-11</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15-Feb-2012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January-12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1-Jan-12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15-Mar-2012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February-12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1-Feb-12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16-Apr-2012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March-12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1-Mar-12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15-May-2012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April-12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1-Apr-12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15-Jun-2012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May-12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1-May-12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16-Jul-2012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June-12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1-Jun-12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15-Aug-2012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July-12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1-Jul-12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17-Sep-2012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August-12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1-Aug-12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15-Oct-2012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September-12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1-Sep-12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15-Nov-2012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October-12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1-Oct-12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17-Dec-2012</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November-12</w:t>
            </w:r>
          </w:p>
        </w:tc>
        <w:tc>
          <w:tcPr>
            <w:tcW w:w="148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1-Nov-12</w:t>
            </w:r>
          </w:p>
        </w:tc>
        <w:tc>
          <w:tcPr>
            <w:tcW w:w="1840" w:type="dxa"/>
            <w:tcBorders>
              <w:end w:val="single" w:sz="4" w:space="0" w:color="000000"/>
            </w:tcBorders>
            <w:vAlign w:val="bottom"/>
          </w:tcPr>
          <w:p>
            <w:pPr>
              <w:pStyle w:val="Normal"/>
              <w:jc w:val="center"/>
              <w:rPr>
                <w:rFonts w:ascii="Arial" w:hAnsi="Arial" w:eastAsia="Arial Unicode MS" w:cs="Arial"/>
              </w:rPr>
            </w:pPr>
            <w:r>
              <w:rPr>
                <w:rFonts w:cs="Arial" w:ascii="Arial" w:hAnsi="Arial"/>
              </w:rPr>
              <w:t>15-Jan-2013</w:t>
            </w:r>
          </w:p>
        </w:tc>
        <w:tc>
          <w:tcPr>
            <w:tcW w:w="174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r>
        <w:trPr>
          <w:trHeight w:val="255" w:hRule="atLeast"/>
        </w:trPr>
        <w:tc>
          <w:tcPr>
            <w:tcW w:w="1820"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December-12</w:t>
            </w:r>
          </w:p>
        </w:tc>
        <w:tc>
          <w:tcPr>
            <w:tcW w:w="1480"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1-Dec-12</w:t>
            </w:r>
          </w:p>
        </w:tc>
        <w:tc>
          <w:tcPr>
            <w:tcW w:w="1840"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15-Feb-2013</w:t>
            </w:r>
          </w:p>
        </w:tc>
        <w:tc>
          <w:tcPr>
            <w:tcW w:w="1740"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c>
          <w:tcPr>
            <w:tcW w:w="1600"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rPr>
            </w:pPr>
            <w:r>
              <w:rPr>
                <w:rFonts w:eastAsia="Arial Unicode MS" w:cs="Arial" w:ascii="Arial" w:hAnsi="Arial"/>
              </w:rPr>
            </w:r>
          </w:p>
        </w:tc>
      </w:tr>
    </w:tbl>
    <w:p>
      <w:pPr>
        <w:pStyle w:val="FootnoteText"/>
        <w:jc w:val="center"/>
        <w:rPr/>
      </w:pPr>
      <w:r>
        <w:rPr/>
      </w:r>
    </w:p>
    <w:p>
      <w:pPr>
        <w:pStyle w:val="FootnoteText"/>
        <w:jc w:val="center"/>
        <w:rPr/>
      </w:pPr>
      <w:r>
        <w:rPr/>
      </w:r>
      <w:r>
        <w:br w:type="page"/>
      </w:r>
    </w:p>
    <w:p>
      <w:pPr>
        <w:pStyle w:val="FootnoteText"/>
        <w:jc w:val="center"/>
        <w:rPr/>
      </w:pPr>
      <w:r>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p>
      <w:pPr>
        <w:pStyle w:val="BodyText"/>
        <w:jc w:val="start"/>
        <w:rPr>
          <w:b w:val="false"/>
          <w:i/>
          <w:i/>
        </w:rPr>
      </w:pPr>
      <w:r>
        <w:rPr>
          <w:b w:val="false"/>
          <w:i/>
          <w:sz w:val="16"/>
        </w:rPr>
        <w:t>By entering into a transaction with CSFBi, you acknowledge that you have read and understood the following terms:  CSFBi is acting solely as an arm’s length contractual counterparty and neither CSFBi, CSFB nor any affiliate is acting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CSFB or any affiliate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recommendations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CSFB or any affiliate is authorized to amend or supplement the terms of this notice, other than in the form of a written instrument, duly executed by an appropriately authorized signatory and countersigned by you.</w:t>
      </w:r>
    </w:p>
    <w:p>
      <w:pPr>
        <w:pStyle w:val="FootnoteText"/>
        <w:jc w:val="center"/>
        <w:rPr>
          <w:b/>
          <w:i/>
          <w:i/>
        </w:rPr>
      </w:pPr>
      <w:r>
        <w:rPr>
          <w:b/>
          <w:i/>
        </w:rPr>
      </w:r>
    </w:p>
    <w:p>
      <w:pPr>
        <w:pStyle w:val="Normal"/>
        <w:rPr>
          <w:rFonts w:ascii="Akzidenz Grotesk Light;Arial Narrow" w:hAnsi="Akzidenz Grotesk Light;Arial Narrow" w:cs="Akzidenz Grotesk Light;Arial Narrow"/>
          <w:sz w:val="16"/>
        </w:rPr>
      </w:pPr>
      <w:r>
        <w:rPr>
          <w:rFonts w:cs="Akzidenz Grotesk Light;Arial Narrow" w:ascii="Akzidenz Grotesk Light;Arial Narrow" w:hAnsi="Akzidenz Grotesk Light;Arial Narrow"/>
          <w:sz w:val="16"/>
        </w:rPr>
      </w:r>
    </w:p>
    <w:sectPr>
      <w:headerReference w:type="default" r:id="rId2"/>
      <w:type w:val="nextPage"/>
      <w:pgSz w:w="11906" w:h="16838"/>
      <w:pgMar w:left="1797" w:right="994" w:gutter="0" w:header="544" w:top="635" w:footer="0" w:bottom="12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altName w:val="Arial Narrow"/>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 w:name="Arial Black">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drawing>
        <wp:inline distT="0" distB="0" distL="0" distR="0">
          <wp:extent cx="2028190" cy="5657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83" r="-24" b="-83"/>
                  <a:stretch>
                    <a:fillRect/>
                  </a:stretch>
                </pic:blipFill>
                <pic:spPr bwMode="auto">
                  <a:xfrm>
                    <a:off x="0" y="0"/>
                    <a:ext cx="2028190" cy="565785"/>
                  </a:xfrm>
                  <a:prstGeom prst="rect">
                    <a:avLst/>
                  </a:prstGeom>
                  <a:noFill/>
                </pic:spPr>
              </pic:pic>
            </a:graphicData>
          </a:graphic>
        </wp:inline>
      </w:drawing>
    </w:r>
    <w:r>
      <w:rPr>
        <w:rFonts w:cs="Akzidenz Grotesk Light;Arial Narrow" w:ascii="Akzidenz Grotesk Light;Arial Narrow" w:hAnsi="Akzidenz Grotesk Light;Arial Narrow"/>
        <w:sz w:val="18"/>
      </w:rPr>
      <w:tab/>
    </w:r>
    <w:r>
      <w:rPr>
        <w:rFonts w:cs="Arial Black" w:ascii="Arial Black" w:hAnsi="Arial Black"/>
        <w:b/>
        <w:sz w:val="32"/>
      </w:rPr>
      <w:t>DRAFT</w:t>
    </w:r>
    <w:r>
      <w:rPr>
        <w:rFonts w:cs="Akzidenz Grotesk Light;Arial Narrow" w:ascii="Akzidenz Grotesk Light;Arial Narrow" w:hAnsi="Akzidenz Grotesk Light;Arial Narrow"/>
        <w:sz w:val="18"/>
      </w:rPr>
      <w:tab/>
      <w:t xml:space="preserve">         </w:t>
    </w:r>
  </w:p>
  <w:p>
    <w:pPr>
      <w:pStyle w:val="Header"/>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144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sz w:val="24"/>
    </w:rPr>
  </w:style>
  <w:style w:type="paragraph" w:styleId="Heading2">
    <w:name w:val="heading 2"/>
    <w:basedOn w:val="Normal"/>
    <w:next w:val="Normal"/>
    <w:qFormat/>
    <w:pPr>
      <w:keepNext w:val="true"/>
      <w:numPr>
        <w:ilvl w:val="1"/>
        <w:numId w:val="1"/>
      </w:numPr>
      <w:spacing w:lineRule="auto" w:line="360"/>
      <w:jc w:val="both"/>
      <w:outlineLvl w:val="1"/>
    </w:pPr>
    <w:rPr>
      <w:rFonts w:ascii="Akzidenz Grotesk Light;Arial Narrow" w:hAnsi="Akzidenz Grotesk Light;Arial Narrow" w:cs="Akzidenz Grotesk Light;Arial Narrow"/>
      <w:sz w:val="24"/>
    </w:rPr>
  </w:style>
  <w:style w:type="paragraph" w:styleId="Heading3">
    <w:name w:val="heading 3"/>
    <w:basedOn w:val="Normal"/>
    <w:next w:val="Normal"/>
    <w:qFormat/>
    <w:pPr>
      <w:keepNext w:val="true"/>
      <w:numPr>
        <w:ilvl w:val="2"/>
        <w:numId w:val="1"/>
      </w:numPr>
      <w:jc w:val="center"/>
      <w:outlineLvl w:val="2"/>
    </w:pPr>
    <w:rPr>
      <w:rFonts w:ascii="Akzidenz Grotesk Light;Arial Narrow" w:hAnsi="Akzidenz Grotesk Light;Arial Narrow" w:cs="Akzidenz Grotesk Light;Arial Narrow"/>
      <w:b/>
      <w:sz w:val="32"/>
    </w:rPr>
  </w:style>
  <w:style w:type="paragraph" w:styleId="Heading4">
    <w:name w:val="heading 4"/>
    <w:basedOn w:val="Normal"/>
    <w:next w:val="Normal"/>
    <w:qFormat/>
    <w:pPr>
      <w:keepNext w:val="true"/>
      <w:numPr>
        <w:ilvl w:val="3"/>
        <w:numId w:val="1"/>
      </w:numPr>
      <w:jc w:val="center"/>
      <w:outlineLvl w:val="3"/>
    </w:pPr>
    <w:rPr>
      <w:rFonts w:ascii="Akzidenz Grotesk Light;Arial Narrow" w:hAnsi="Akzidenz Grotesk Light;Arial Narrow" w:cs="Akzidenz Grotesk Light;Arial Narrow"/>
      <w:i/>
      <w:sz w:val="18"/>
    </w:rPr>
  </w:style>
  <w:style w:type="paragraph" w:styleId="Heading5">
    <w:name w:val="heading 5"/>
    <w:basedOn w:val="Normal"/>
    <w:next w:val="Normal"/>
    <w:qFormat/>
    <w:pPr>
      <w:keepNext w:val="true"/>
      <w:numPr>
        <w:ilvl w:val="4"/>
        <w:numId w:val="1"/>
      </w:numPr>
      <w:tabs>
        <w:tab w:val="clear" w:pos="1440"/>
        <w:tab w:val="right" w:pos="3686" w:leader="none"/>
      </w:tabs>
      <w:ind w:hanging="3969" w:start="3969" w:end="0"/>
      <w:jc w:val="both"/>
      <w:outlineLvl w:val="4"/>
    </w:pPr>
    <w:rPr>
      <w:rFonts w:ascii="Akzidenz Grotesk Light;Arial Narrow" w:hAnsi="Akzidenz Grotesk Light;Arial Narrow" w:cs="Akzidenz Grotesk Light;Arial Narrow"/>
      <w:sz w:val="24"/>
    </w:rPr>
  </w:style>
  <w:style w:type="paragraph" w:styleId="Heading6">
    <w:name w:val="heading 6"/>
    <w:basedOn w:val="Normal"/>
    <w:next w:val="Normal"/>
    <w:qFormat/>
    <w:pPr>
      <w:keepNext w:val="true"/>
      <w:numPr>
        <w:ilvl w:val="5"/>
        <w:numId w:val="1"/>
      </w:numPr>
      <w:spacing w:lineRule="auto" w:line="360" w:before="0" w:after="240"/>
      <w:ind w:hanging="0" w:start="0" w:end="-108"/>
      <w:outlineLvl w:val="5"/>
    </w:pPr>
    <w:rPr>
      <w:rFonts w:ascii="Akzidenz Grotesk Light;Arial Narrow" w:hAnsi="Akzidenz Grotesk Light;Arial Narrow" w:cs="Akzidenz Grotesk Light;Arial Narrow"/>
      <w:b/>
      <w:i/>
    </w:rPr>
  </w:style>
  <w:style w:type="paragraph" w:styleId="Heading7">
    <w:name w:val="heading 7"/>
    <w:basedOn w:val="Normal"/>
    <w:next w:val="Normal"/>
    <w:qFormat/>
    <w:pPr>
      <w:keepNext w:val="true"/>
      <w:numPr>
        <w:ilvl w:val="6"/>
        <w:numId w:val="1"/>
      </w:numPr>
      <w:spacing w:lineRule="auto" w:line="360" w:before="0" w:after="240"/>
      <w:ind w:hanging="0" w:start="0" w:end="-108"/>
      <w:outlineLvl w:val="6"/>
    </w:pPr>
    <w:rPr>
      <w:rFonts w:ascii="Akzidenz Grotesk Light;Arial Narrow" w:hAnsi="Akzidenz Grotesk Light;Arial Narrow" w:cs="Akzidenz Grotesk Light;Arial Narrow"/>
      <w:sz w:val="24"/>
      <w:u w:val="single"/>
    </w:rPr>
  </w:style>
  <w:style w:type="paragraph" w:styleId="Heading8">
    <w:name w:val="heading 8"/>
    <w:basedOn w:val="Normal"/>
    <w:next w:val="Normal"/>
    <w:qFormat/>
    <w:pPr>
      <w:keepNext w:val="true"/>
      <w:numPr>
        <w:ilvl w:val="7"/>
        <w:numId w:val="1"/>
      </w:numPr>
      <w:spacing w:lineRule="auto" w:line="360"/>
      <w:outlineLvl w:val="7"/>
    </w:pPr>
    <w:rPr>
      <w:rFonts w:ascii="Akzidenz Grotesk Light;Arial Narrow" w:hAnsi="Akzidenz Grotesk Light;Arial Narrow" w:cs="Akzidenz Grotesk Light;Arial Narrow"/>
      <w:b/>
      <w:i/>
    </w:rPr>
  </w:style>
  <w:style w:type="paragraph" w:styleId="Heading9">
    <w:name w:val="heading 9"/>
    <w:basedOn w:val="Normal"/>
    <w:next w:val="Normal"/>
    <w:qFormat/>
    <w:pPr>
      <w:keepNext w:val="true"/>
      <w:numPr>
        <w:ilvl w:val="8"/>
        <w:numId w:val="1"/>
      </w:numPr>
      <w:ind w:hanging="0" w:start="0" w:end="-108"/>
      <w:outlineLvl w:val="8"/>
    </w:pPr>
    <w:rPr>
      <w:rFonts w:ascii="Akzidenz Grotesk Light;Arial Narrow" w:hAnsi="Akzidenz Grotesk Light;Arial Narrow" w:cs="Akzidenz Grotesk Light;Arial Narrow"/>
      <w:sz w:val="24"/>
    </w:rPr>
  </w:style>
  <w:style w:type="character" w:styleId="WW8Num1z0">
    <w:name w:val="WW8Num1z0"/>
    <w:qFormat/>
    <w:rPr>
      <w:rFonts w:ascii="Symbol" w:hAnsi="Symbol" w:cs="Symbol"/>
      <w:color w:val="auto"/>
      <w:u w:val="none"/>
      <w:vertAlign w:val="superscrip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kzidenz Grotesk Light;Arial Narrow" w:hAnsi="Akzidenz Grotesk Light;Arial Narrow" w:cs="Akzidenz Grotesk Light;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153" w:leader="none"/>
        <w:tab w:val="right" w:pos="8306" w:leader="none"/>
      </w:tabs>
    </w:pPr>
    <w:rPr/>
  </w:style>
  <w:style w:type="paragraph" w:styleId="Footer">
    <w:name w:val="footer"/>
    <w:basedOn w:val="Normal"/>
    <w:pPr>
      <w:tabs>
        <w:tab w:val="clear" w:pos="1440"/>
        <w:tab w:val="center" w:pos="4153" w:leader="none"/>
        <w:tab w:val="right" w:pos="8306" w:leader="none"/>
      </w:tabs>
    </w:pPr>
    <w:rPr/>
  </w:style>
  <w:style w:type="paragraph" w:styleId="BodyTextIndent">
    <w:name w:val="Body Text Indent"/>
    <w:basedOn w:val="Normal"/>
    <w:pPr>
      <w:spacing w:lineRule="auto" w:line="360"/>
      <w:ind w:hanging="3600" w:start="3600" w:end="0"/>
    </w:pPr>
    <w:rPr>
      <w:rFonts w:ascii="Akzidenz Grotesk Light;Arial Narrow" w:hAnsi="Akzidenz Grotesk Light;Arial Narrow" w:cs="Akzidenz Grotesk Light;Arial Narrow"/>
      <w:sz w:val="24"/>
    </w:rPr>
  </w:style>
  <w:style w:type="paragraph" w:styleId="BodyTextIndent2">
    <w:name w:val="Body Text Indent 2"/>
    <w:basedOn w:val="Normal"/>
    <w:qFormat/>
    <w:pPr>
      <w:spacing w:lineRule="auto" w:line="360"/>
      <w:ind w:hanging="0" w:start="3600" w:end="0"/>
    </w:pPr>
    <w:rPr>
      <w:rFonts w:ascii="Akzidenz Grotesk Light;Arial Narrow" w:hAnsi="Akzidenz Grotesk Light;Arial Narrow" w:cs="Akzidenz Grotesk Light;Arial Narrow"/>
      <w:sz w:val="24"/>
    </w:rPr>
  </w:style>
  <w:style w:type="paragraph" w:styleId="FootnoteText">
    <w:name w:val="footnote text"/>
    <w:basedOn w:val="Normal"/>
    <w:pPr/>
    <w:rPr/>
  </w:style>
  <w:style w:type="paragraph" w:styleId="BodyText2">
    <w:name w:val="Body Text 2"/>
    <w:basedOn w:val="Normal"/>
    <w:qFormat/>
    <w:pPr>
      <w:spacing w:lineRule="auto" w:line="360" w:before="0" w:after="240"/>
      <w:ind w:hanging="0" w:start="0" w:end="38"/>
    </w:pPr>
    <w:rPr>
      <w:rFonts w:ascii="Akzidenz Grotesk Light;Arial Narrow" w:hAnsi="Akzidenz Grotesk Light;Arial Narrow" w:cs="Akzidenz Grotesk Light;Arial Narrow"/>
      <w:sz w:val="24"/>
    </w:rPr>
  </w:style>
  <w:style w:type="paragraph" w:styleId="BodyTextIndent3">
    <w:name w:val="Body Text Indent 3"/>
    <w:basedOn w:val="Normal"/>
    <w:qFormat/>
    <w:pPr>
      <w:tabs>
        <w:tab w:val="clear" w:pos="1440"/>
        <w:tab w:val="right" w:pos="3686" w:leader="none"/>
      </w:tabs>
      <w:ind w:hanging="3969" w:start="3969" w:end="0"/>
      <w:jc w:val="both"/>
    </w:pPr>
    <w:rPr>
      <w:rFonts w:ascii="Akzidenz Grotesk Light;Arial Narrow" w:hAnsi="Akzidenz Grotesk Light;Arial Narrow" w:cs="Akzidenz Grotesk Light;Arial Narrow"/>
      <w:sz w:val="24"/>
    </w:rPr>
  </w:style>
  <w:style w:type="paragraph" w:styleId="xl25">
    <w:name w:val="xl25"/>
    <w:basedOn w:val="Normal"/>
    <w:qFormat/>
    <w:pPr>
      <w:spacing w:before="100" w:after="100"/>
      <w:jc w:val="center"/>
    </w:pPr>
    <w:rPr>
      <w:rFonts w:ascii="Arial" w:hAnsi="Arial" w:eastAsia="Arial Unicode MS" w:cs="Arial"/>
      <w:sz w:val="24"/>
      <w:szCs w:val="24"/>
      <w:lang w:val="en-US"/>
    </w:rPr>
  </w:style>
  <w:style w:type="paragraph" w:styleId="xl26">
    <w:name w:val="xl26"/>
    <w:basedOn w:val="Normal"/>
    <w:qFormat/>
    <w:pPr>
      <w:spacing w:before="100" w:after="100"/>
    </w:pPr>
    <w:rPr>
      <w:rFonts w:ascii="Arial" w:hAnsi="Arial" w:eastAsia="Arial Unicode MS" w:cs="Arial"/>
      <w:sz w:val="24"/>
      <w:szCs w:val="24"/>
      <w:lang w:val="en-US"/>
    </w:rPr>
  </w:style>
  <w:style w:type="paragraph" w:styleId="xl27">
    <w:name w:val="xl27"/>
    <w:basedOn w:val="Normal"/>
    <w:qFormat/>
    <w:pPr>
      <w:pBdr>
        <w:top w:val="single" w:sz="4" w:space="0" w:color="000000"/>
        <w:left w:val="single" w:sz="4" w:space="0" w:color="000000"/>
        <w:bottom w:val="single" w:sz="4" w:space="0" w:color="000000"/>
      </w:pBdr>
      <w:spacing w:before="100" w:after="100"/>
      <w:jc w:val="center"/>
    </w:pPr>
    <w:rPr>
      <w:rFonts w:ascii="Arial" w:hAnsi="Arial" w:eastAsia="Arial Unicode MS" w:cs="Arial"/>
      <w:b/>
      <w:bCs/>
      <w:sz w:val="24"/>
      <w:szCs w:val="24"/>
      <w:lang w:val="en-US"/>
    </w:rPr>
  </w:style>
  <w:style w:type="paragraph" w:styleId="xl28">
    <w:name w:val="xl28"/>
    <w:basedOn w:val="Normal"/>
    <w:qFormat/>
    <w:pPr>
      <w:pBdr>
        <w:top w:val="single" w:sz="4" w:space="0" w:color="000000"/>
        <w:bottom w:val="single" w:sz="4" w:space="0" w:color="000000"/>
        <w:right w:val="single" w:sz="4" w:space="0" w:color="000000"/>
      </w:pBdr>
      <w:spacing w:before="100" w:after="100"/>
      <w:jc w:val="center"/>
    </w:pPr>
    <w:rPr>
      <w:rFonts w:ascii="Arial" w:hAnsi="Arial" w:eastAsia="Arial Unicode MS" w:cs="Arial"/>
      <w:b/>
      <w:bCs/>
      <w:sz w:val="24"/>
      <w:szCs w:val="24"/>
      <w:lang w:val="en-US"/>
    </w:rPr>
  </w:style>
  <w:style w:type="paragraph" w:styleId="xl24">
    <w:name w:val="xl24"/>
    <w:basedOn w:val="Normal"/>
    <w:qFormat/>
    <w:pPr>
      <w:pBdr>
        <w:top w:val="single" w:sz="4" w:space="0" w:color="000000"/>
        <w:left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29">
    <w:name w:val="xl29"/>
    <w:basedOn w:val="Normal"/>
    <w:qFormat/>
    <w:pPr>
      <w:pBdr>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eastAsia="Arial Unicode MS" w:cs="Arial"/>
      <w:b/>
      <w:bCs/>
      <w:sz w:val="24"/>
      <w:szCs w:val="24"/>
      <w:lang w:val="en-US"/>
    </w:rPr>
  </w:style>
  <w:style w:type="paragraph" w:styleId="xl31">
    <w:name w:val="xl31"/>
    <w:basedOn w:val="Normal"/>
    <w:qFormat/>
    <w:pPr>
      <w:pBdr>
        <w:top w:val="single" w:sz="4" w:space="0" w:color="000000"/>
        <w:left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2">
    <w:name w:val="xl32"/>
    <w:basedOn w:val="Normal"/>
    <w:qFormat/>
    <w:pPr>
      <w:pBdr>
        <w:left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4">
    <w:name w:val="xl34"/>
    <w:basedOn w:val="Normal"/>
    <w:qFormat/>
    <w:pPr>
      <w:pBdr>
        <w:top w:val="single" w:sz="4" w:space="0" w:color="000000"/>
        <w:left w:val="single" w:sz="4" w:space="0" w:color="000000"/>
        <w:right w:val="single" w:sz="4" w:space="0" w:color="000000"/>
      </w:pBdr>
      <w:spacing w:before="100" w:after="100"/>
      <w:jc w:val="center"/>
    </w:pPr>
    <w:rPr>
      <w:rFonts w:ascii="Arial" w:hAnsi="Arial" w:eastAsia="Arial Unicode MS" w:cs="Arial"/>
      <w:b/>
      <w:bCs/>
      <w:sz w:val="24"/>
      <w:szCs w:val="24"/>
      <w:lang w:val="en-US"/>
    </w:rPr>
  </w:style>
  <w:style w:type="paragraph" w:styleId="xl35">
    <w:name w:val="xl35"/>
    <w:basedOn w:val="Normal"/>
    <w:qFormat/>
    <w:pPr>
      <w:pBdr>
        <w:top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6">
    <w:name w:val="xl36"/>
    <w:basedOn w:val="Normal"/>
    <w:qFormat/>
    <w:pPr>
      <w:pBdr>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7">
    <w:name w:val="xl37"/>
    <w:basedOn w:val="Normal"/>
    <w:qFormat/>
    <w:pPr>
      <w:pBdr>
        <w:bottom w:val="single" w:sz="4" w:space="0" w:color="000000"/>
        <w:right w:val="single" w:sz="4" w:space="0" w:color="000000"/>
      </w:pBdr>
      <w:spacing w:before="100" w:after="100"/>
      <w:jc w:val="center"/>
    </w:pPr>
    <w:rPr>
      <w:rFonts w:ascii="Arial Unicode MS" w:hAnsi="Arial Unicode MS" w:eastAsia="Arial Unicode MS" w:cs="Arial Unicode MS"/>
      <w:sz w:val="24"/>
      <w:szCs w:val="24"/>
      <w:lang w:val="en-US"/>
    </w:rPr>
  </w:style>
  <w:style w:type="paragraph" w:styleId="xl38">
    <w:name w:val="xl38"/>
    <w:basedOn w:val="Normal"/>
    <w:qFormat/>
    <w:pPr>
      <w:pBdr>
        <w:top w:val="single" w:sz="4" w:space="0" w:color="000000"/>
        <w:left w:val="single" w:sz="4" w:space="0" w:color="000000"/>
        <w:right w:val="single" w:sz="4" w:space="0" w:color="000000"/>
      </w:pBdr>
      <w:spacing w:before="100" w:after="100"/>
      <w:jc w:val="center"/>
      <w:textAlignment w:val="center"/>
    </w:pPr>
    <w:rPr>
      <w:rFonts w:ascii="Arial" w:hAnsi="Arial" w:eastAsia="Arial Unicode MS" w:cs="Arial"/>
      <w:b/>
      <w:bCs/>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2000-10-23T12:45:00Z</dcterms:created>
  <dc:creator>mtehan</dc:creator>
  <dc:description/>
  <dc:language>en-CA</dc:language>
  <cp:lastModifiedBy>rdyk</cp:lastModifiedBy>
  <cp:lastPrinted>2000-10-17T11:22:00Z</cp:lastPrinted>
  <dcterms:modified xsi:type="dcterms:W3CDTF">2000-10-23T12:45:00Z</dcterms:modified>
  <cp:revision>2</cp:revision>
  <dc:subject/>
  <dc:title>1-Year Min, 3-Year Max, CSFP USD Bond with 7% Annual Yield</dc:title>
</cp:coreProperties>
</file>