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end"/>
        <w:rPr/>
      </w:pPr>
      <w:r>
        <w:rPr/>
        <w:t>EXECUTION VERSION</w:t>
      </w:r>
    </w:p>
    <w:p>
      <w:pPr>
        <w:pStyle w:val="Normal"/>
        <w:suppressAutoHyphens w:val="true"/>
        <w:jc w:val="end"/>
        <w:rPr/>
      </w:pPr>
      <w:r>
        <w:rPr/>
        <w:t>02/6/01</w:t>
      </w:r>
    </w:p>
    <w:p>
      <w:pPr>
        <w:pStyle w:val="Normal"/>
        <w:suppressAutoHyphens w:val="true"/>
        <w:spacing w:before="0" w:after="240"/>
        <w:jc w:val="center"/>
        <w:rPr/>
      </w:pPr>
      <w:r>
        <w:rPr/>
      </w:r>
    </w:p>
    <w:p>
      <w:pPr>
        <w:pStyle w:val="Normal"/>
        <w:suppressAutoHyphens w:val="true"/>
        <w:spacing w:before="0" w:after="240"/>
        <w:jc w:val="center"/>
        <w:rPr>
          <w:b/>
        </w:rPr>
      </w:pPr>
      <w:r>
        <w:rPr>
          <w:b/>
        </w:rPr>
        <w:t>INTERCREDITOR AND COLLATERAL AGENCY AGREEMENT</w:t>
      </w:r>
    </w:p>
    <w:p>
      <w:pPr>
        <w:pStyle w:val="AG-SingleSpFL5"/>
        <w:rPr/>
      </w:pPr>
      <w:r>
        <w:rPr/>
        <w:t>This INTERCREDITOR AND COLLATERAL AGENCY AGREEMENT (this “</w:t>
      </w:r>
      <w:r>
        <w:rPr>
          <w:u w:val="single"/>
        </w:rPr>
        <w:t>Agreement</w:t>
      </w:r>
      <w:r>
        <w:rPr/>
        <w:t>”), dated as of February ____, 2001, is by and among the suppliers specified on Schedule I hereto, as amended from time to time (individually, a “</w:t>
      </w:r>
      <w:r>
        <w:rPr>
          <w:u w:val="single"/>
        </w:rPr>
        <w:t>Supplier</w:t>
      </w:r>
      <w:r>
        <w:rPr/>
        <w:t>” and collectively, the “</w:t>
      </w:r>
      <w:r>
        <w:rPr>
          <w:u w:val="single"/>
        </w:rPr>
        <w:t>Suppliers</w:t>
      </w:r>
      <w:r>
        <w:rPr/>
        <w:t>”), and U.S. Trust Company, National Association, a national banking association, acting as collateral agent (in such capacity, and each successor thereof acting in such capacity, “</w:t>
      </w:r>
      <w:r>
        <w:rPr>
          <w:u w:val="single"/>
        </w:rPr>
        <w:t>Agent</w:t>
      </w:r>
      <w:r>
        <w:rPr/>
        <w:t xml:space="preserve">”). </w:t>
      </w:r>
    </w:p>
    <w:p>
      <w:pPr>
        <w:pStyle w:val="Normal"/>
        <w:suppressAutoHyphens w:val="true"/>
        <w:spacing w:before="0" w:after="240"/>
        <w:jc w:val="center"/>
        <w:rPr/>
      </w:pPr>
      <w:r>
        <w:rPr/>
        <w:t>R E C I T A L S:</w:t>
      </w:r>
    </w:p>
    <w:p>
      <w:pPr>
        <w:pStyle w:val="AG-SingleSpFL5"/>
        <w:rPr/>
      </w:pPr>
      <w:r>
        <w:rPr/>
        <w:t>A.</w:t>
        <w:tab/>
        <w:t>The Suppliers and Agent have entered into a certain Gas Supplier Security Agreement, of even date herewith (such Gas Supplier Security Agreement, as the same may be amended, modified, supplemented or restated from time to time, hereinafter is referred to as the “</w:t>
      </w:r>
      <w:r>
        <w:rPr>
          <w:u w:val="single"/>
        </w:rPr>
        <w:t>Security Agreement</w:t>
      </w:r>
      <w:r>
        <w:rPr/>
        <w:t>”), pursuant and subject to the terms and conditions of which PG&amp;E (as defined therein) has agreed,</w:t>
      </w:r>
      <w:r>
        <w:rPr>
          <w:i/>
        </w:rPr>
        <w:t xml:space="preserve"> </w:t>
      </w:r>
      <w:r>
        <w:rPr>
          <w:u w:val="single"/>
        </w:rPr>
        <w:t>inter alia</w:t>
      </w:r>
      <w:r>
        <w:rPr/>
        <w:t>, to pledge and assign to the Agent (for the ratable benefit of the Suppliers), and grant to Agent (for the ratable benefit of the Suppliers) a security interest in the collateral described therein.</w:t>
      </w:r>
    </w:p>
    <w:p>
      <w:pPr>
        <w:pStyle w:val="AG-SingleSpFL5"/>
        <w:rPr/>
      </w:pPr>
      <w:r>
        <w:rPr/>
        <w:t>B.</w:t>
        <w:tab/>
        <w:t xml:space="preserve">The security interest in the Collateral is intended to serve as security for payment of the Secured Obligations (as defined in the Security Agreement).  </w:t>
      </w:r>
    </w:p>
    <w:p>
      <w:pPr>
        <w:pStyle w:val="AG-SingleSpFL5"/>
        <w:rPr/>
      </w:pPr>
      <w:r>
        <w:rPr/>
        <w:t>C.</w:t>
        <w:tab/>
        <w:t>The Suppliers have requested that Agent act, and Agent has agreed to act, as collateral agent for the Security Agreement pursuant and subject to the terms and conditions of this Agreement.</w:t>
      </w:r>
    </w:p>
    <w:p>
      <w:pPr>
        <w:pStyle w:val="AG-SingleSpFL5"/>
        <w:rPr/>
      </w:pPr>
      <w:r>
        <w:rPr/>
        <w:t>NOW THEREFORE, for good and valuable consideration, the receipt and sufficiency of which hereby are acknowledged, the parties hereto hereby agree as follows:</w:t>
      </w:r>
    </w:p>
    <w:p>
      <w:pPr>
        <w:pStyle w:val="AG-SingleSpFL5"/>
        <w:rPr/>
      </w:pPr>
      <w:r>
        <w:rPr/>
        <w:t>1.</w:t>
        <w:tab/>
      </w:r>
      <w:r>
        <w:rPr>
          <w:u w:val="single"/>
        </w:rPr>
        <w:t>Recitals; Definitions</w:t>
      </w:r>
      <w:r>
        <w:rPr/>
        <w:t>.   The Recitals set forth above are acknowledged by the parties hereto to be true and correct and are incorporated into this Agreement by this reference.   All capitalized terms used herein which are defined in the Security Agreement shall have the respective meanings ascribed thereto in the Security Agreement.   All other capitalized terms used but not elsewhere defined herein shall have the following meanings:</w:t>
      </w:r>
    </w:p>
    <w:p>
      <w:pPr>
        <w:pStyle w:val="Normal"/>
        <w:suppressAutoHyphens w:val="true"/>
        <w:spacing w:before="0" w:after="240"/>
        <w:ind w:firstLine="720" w:start="720" w:end="0"/>
        <w:rPr/>
      </w:pPr>
      <w:r>
        <w:rPr>
          <w:i/>
        </w:rPr>
        <w:t>Agent</w:t>
      </w:r>
      <w:r>
        <w:rPr/>
        <w:t xml:space="preserve"> shall mean U.S. Trust Company, National Association, in its capacity as collateral agent for the benefit of the Suppliers, and any successor to U.S. Trust Company, National Association, appointed pursuant to Section 2.15.</w:t>
      </w:r>
    </w:p>
    <w:p>
      <w:pPr>
        <w:pStyle w:val="Normal"/>
        <w:suppressAutoHyphens w:val="true"/>
        <w:spacing w:before="0" w:after="240"/>
        <w:ind w:firstLine="720" w:start="720" w:end="0"/>
        <w:rPr>
          <w:i/>
          <w:i/>
        </w:rPr>
      </w:pPr>
      <w:r>
        <w:rPr>
          <w:i/>
        </w:rPr>
        <w:t>Allocation Report</w:t>
      </w:r>
      <w:r>
        <w:rPr/>
        <w:t xml:space="preserve"> shall have the meaning specified in Section 4.</w:t>
      </w:r>
    </w:p>
    <w:p>
      <w:pPr>
        <w:pStyle w:val="Normal"/>
        <w:suppressAutoHyphens w:val="true"/>
        <w:spacing w:before="0" w:after="240"/>
        <w:ind w:firstLine="720" w:start="720" w:end="0"/>
        <w:rPr/>
      </w:pPr>
      <w:r>
        <w:rPr>
          <w:i/>
        </w:rPr>
        <w:t>Amount Owed</w:t>
      </w:r>
      <w:r>
        <w:rPr/>
        <w:t xml:space="preserve"> shall mean, as to a Supplier, the outstanding balance of all Secured Obligations owed by PG&amp;E to that particular Supplier.</w:t>
      </w:r>
    </w:p>
    <w:p>
      <w:pPr>
        <w:pStyle w:val="Normal"/>
        <w:suppressAutoHyphens w:val="true"/>
        <w:spacing w:before="0" w:after="240"/>
        <w:ind w:firstLine="720" w:start="720" w:end="0"/>
        <w:rPr/>
      </w:pPr>
      <w:r>
        <w:rPr>
          <w:i/>
        </w:rPr>
        <w:t>Determination Date</w:t>
      </w:r>
      <w:r>
        <w:rPr/>
        <w:t xml:space="preserve"> shall mean the date that the Agent takes any Enforcement Action.</w:t>
      </w:r>
    </w:p>
    <w:p>
      <w:pPr>
        <w:pStyle w:val="Normal"/>
        <w:suppressAutoHyphens w:val="true"/>
        <w:spacing w:before="0" w:after="240"/>
        <w:ind w:firstLine="720" w:start="720" w:end="0"/>
        <w:rPr/>
      </w:pPr>
      <w:r>
        <w:rPr>
          <w:i/>
        </w:rPr>
        <w:t>Enforcement Action</w:t>
      </w:r>
      <w:r>
        <w:rPr/>
        <w:t xml:space="preserve"> shall mean any action, whether by judicial proceedings or otherwise (including the exercise of any rights of set-off), to enforce any of the rights and remedies granted to the Agent pursuant to the Security Agreement against the Collateral upon or after the occurrence of an Event of Default.</w:t>
      </w:r>
    </w:p>
    <w:p>
      <w:pPr>
        <w:pStyle w:val="Normal"/>
        <w:suppressAutoHyphens w:val="true"/>
        <w:spacing w:before="0" w:after="240"/>
        <w:ind w:firstLine="720" w:start="720" w:end="0"/>
        <w:rPr/>
      </w:pPr>
      <w:r>
        <w:rPr>
          <w:i/>
        </w:rPr>
        <w:t>Proceeds</w:t>
      </w:r>
      <w:r>
        <w:rPr/>
        <w:t xml:space="preserve"> shall mean (i) any and all proceeds of any collection, sale or other disposition of the Collateral, (ii) any and all amounts from time to time paid or payable under or in connection with any of the Collateral, (iii) all amounts paid or payable to the Agent or any Supplier as a result of any Enforcement Action and (iv) all payments by PG&amp;E on account of the Secured Obligations after the Determination Date.</w:t>
      </w:r>
    </w:p>
    <w:p>
      <w:pPr>
        <w:pStyle w:val="Normal"/>
        <w:suppressAutoHyphens w:val="true"/>
        <w:spacing w:before="0" w:after="240"/>
        <w:ind w:firstLine="720" w:start="720" w:end="0"/>
        <w:rPr/>
      </w:pPr>
      <w:r>
        <w:rPr>
          <w:i/>
        </w:rPr>
        <w:t>Pro Rata Share</w:t>
      </w:r>
      <w:r>
        <w:rPr/>
        <w:t xml:space="preserve"> shall mean, as to a Supplier, the ratio which the Amount Owed to such Supplier as of the applicable Determination Date bears to the aggregate Amount Owed to all Suppliers as of such Determination Date.</w:t>
      </w:r>
    </w:p>
    <w:p>
      <w:pPr>
        <w:pStyle w:val="Normal"/>
        <w:suppressAutoHyphens w:val="true"/>
        <w:spacing w:before="0" w:after="240"/>
        <w:ind w:firstLine="720" w:start="720" w:end="0"/>
        <w:rPr/>
      </w:pPr>
      <w:r>
        <w:rPr>
          <w:i/>
        </w:rPr>
        <w:t xml:space="preserve">Requisite Suppliers </w:t>
      </w:r>
      <w:r>
        <w:rPr/>
        <w:t>as of any date shall mean those Suppliers holding a majority in amount of the total Amount Owed outstanding to all Suppliers at the time of any action requiring direction by the Requisite Suppliers, as specified in the most recent Allocation Report.</w:t>
      </w:r>
    </w:p>
    <w:p>
      <w:pPr>
        <w:pStyle w:val="Normal"/>
        <w:suppressAutoHyphens w:val="true"/>
        <w:spacing w:before="0" w:after="240"/>
        <w:ind w:firstLine="720" w:end="0"/>
        <w:rPr/>
      </w:pPr>
      <w:r>
        <w:rPr/>
        <w:t>2.</w:t>
        <w:tab/>
      </w:r>
      <w:r>
        <w:rPr>
          <w:u w:val="single"/>
        </w:rPr>
        <w:t>Collateral Agency</w:t>
      </w:r>
      <w:r>
        <w:rPr/>
        <w:t>.</w:t>
      </w:r>
    </w:p>
    <w:p>
      <w:pPr>
        <w:pStyle w:val="Normal"/>
        <w:tabs>
          <w:tab w:val="clear" w:pos="720"/>
          <w:tab w:val="left" w:pos="0" w:leader="none"/>
        </w:tabs>
        <w:suppressAutoHyphens w:val="true"/>
        <w:spacing w:before="0" w:after="240"/>
        <w:ind w:firstLine="720" w:start="720" w:end="0"/>
        <w:rPr/>
      </w:pPr>
      <w:r>
        <w:rPr/>
        <w:t xml:space="preserve">2.1 </w:t>
        <w:tab/>
      </w:r>
      <w:r>
        <w:rPr>
          <w:u w:val="single"/>
        </w:rPr>
        <w:t>Appointment of Agent</w:t>
      </w:r>
      <w:r>
        <w:rPr/>
        <w:t>.  Agent is hereby appointed as collateral agent of the Suppliers to act for the benefit of the Suppliers with respect to the liens on the Collateral and the rights and remedies granted by PG&amp;E to Agent for the benefit of the Suppliers pursuant to the Security Agreement.  Agent accepts such appointment and agrees to act as such agent on the terms and conditions herein set forth.  Each Supplier hereby irrevocably authorizes the Agent to take such action on its behalf under the provisions of this Agreement and the Security Agreement, and to exercise such powers and to perform such duties hereunder as are specifically delegated to or required of the Agent by the terms of this Agreement, together with such powers as are reasonably incidental thereto.</w:t>
      </w:r>
    </w:p>
    <w:p>
      <w:pPr>
        <w:pStyle w:val="Normal"/>
        <w:tabs>
          <w:tab w:val="clear" w:pos="720"/>
          <w:tab w:val="left" w:pos="0" w:leader="none"/>
        </w:tabs>
        <w:suppressAutoHyphens w:val="true"/>
        <w:spacing w:before="0" w:after="240"/>
        <w:ind w:firstLine="720" w:start="720" w:end="0"/>
        <w:rPr/>
      </w:pPr>
      <w:r>
        <w:rPr/>
        <w:t xml:space="preserve">2.2 </w:t>
        <w:tab/>
      </w:r>
      <w:r>
        <w:rPr>
          <w:u w:val="single"/>
        </w:rPr>
        <w:t>Authorization to Execute Documents</w:t>
      </w:r>
      <w:r>
        <w:rPr/>
        <w:t>.   Each Supplier hereby authorizes and directs the Agent to accept delivery of the Security Agreement and to execute any other related document that requires execution and delivery by the Agent.</w:t>
      </w:r>
    </w:p>
    <w:p>
      <w:pPr>
        <w:pStyle w:val="Normal"/>
        <w:tabs>
          <w:tab w:val="clear" w:pos="720"/>
          <w:tab w:val="left" w:pos="0" w:leader="none"/>
        </w:tabs>
        <w:suppressAutoHyphens w:val="true"/>
        <w:spacing w:before="0" w:after="240"/>
        <w:ind w:firstLine="720" w:start="720" w:end="0"/>
        <w:rPr/>
      </w:pPr>
      <w:r>
        <w:rPr/>
        <w:t xml:space="preserve">2.3 </w:t>
        <w:tab/>
      </w:r>
      <w:r>
        <w:rPr>
          <w:u w:val="single"/>
        </w:rPr>
        <w:t>Duties of Agent</w:t>
      </w:r>
      <w:r>
        <w:rPr/>
        <w:t>.   The Agent shall not commence an Enforcement Action except upon the written direction of the Requisite Suppliers; provided, however, that if the Agent is prohibited by any court order or applicable law from commencing any Enforcement Action, the Agent shall seek the requisite authority to commence such Enforcement Action but shall not be obligated to commence such Enforcement Action until such authority is obtained.  All decisions with respect to the type of Enforcement Action which is to be commenced shall be made by, and all actions with respect to prosecution and settlement of such Enforcement Action shall require the written direction of, the Requisite Suppliers, and the Agent shall not be required to take any Enforcement Action in the absence of the written direction of the Requisite Suppliers.  The Agent will use its commercially reasonable efforts to pursue diligently the prosecution of any Enforcement Action which the Agent is authorized or directed to initiate pursuant to this Agreement.</w:t>
      </w:r>
    </w:p>
    <w:p>
      <w:pPr>
        <w:pStyle w:val="Normal"/>
        <w:tabs>
          <w:tab w:val="clear" w:pos="720"/>
          <w:tab w:val="left" w:pos="0" w:leader="none"/>
        </w:tabs>
        <w:suppressAutoHyphens w:val="true"/>
        <w:ind w:firstLine="720" w:start="720" w:end="0"/>
        <w:rPr/>
      </w:pPr>
      <w:r>
        <w:rPr/>
        <w:t xml:space="preserve">2.4 </w:t>
        <w:tab/>
      </w:r>
      <w:r>
        <w:rPr>
          <w:u w:val="single"/>
        </w:rPr>
        <w:t>Administrative Actions</w:t>
      </w:r>
      <w:r>
        <w:rPr/>
        <w:t>.   The Agent may, but shall not be obligated to, take such action as it deems appropriate to perfect or continue the perfection of the liens on the Collateral held for the benefit of the Suppliers.  The Agent shall not release any of the Collateral held for the benefit of the Suppliers, or any liens on the Collateral held for the benefit of the Suppliers, except: (i) upon the written direction of the Requisite Suppliers; (ii) upon payment in full of the Secured Obligations; (iii) for Collateral consisting of a debt instrument if the indebtedness evidenced thereby has been paid in full; and (iv) in the ordinary course of business.  Upon request by the Agent at any time, the Requisite Suppliers will confirm in writing the Agent’s authority to release particular types or items of Collateral pursuant to this Section 2.4.</w:t>
      </w:r>
    </w:p>
    <w:p>
      <w:pPr>
        <w:pStyle w:val="Normal"/>
        <w:tabs>
          <w:tab w:val="clear" w:pos="720"/>
          <w:tab w:val="left" w:pos="0" w:leader="none"/>
        </w:tabs>
        <w:suppressAutoHyphens w:val="true"/>
        <w:ind w:firstLine="720" w:start="720" w:end="0"/>
        <w:rPr/>
      </w:pPr>
      <w:r>
        <w:rPr/>
      </w:r>
    </w:p>
    <w:p>
      <w:pPr>
        <w:pStyle w:val="Normal"/>
        <w:tabs>
          <w:tab w:val="clear" w:pos="720"/>
          <w:tab w:val="left" w:pos="0" w:leader="none"/>
        </w:tabs>
        <w:suppressAutoHyphens w:val="true"/>
        <w:spacing w:before="0" w:after="240"/>
        <w:ind w:firstLine="720" w:start="720" w:end="0"/>
        <w:rPr/>
      </w:pPr>
      <w:r>
        <w:rPr/>
        <w:t>2.5</w:t>
        <w:tab/>
      </w:r>
      <w:r>
        <w:rPr>
          <w:u w:val="single"/>
        </w:rPr>
        <w:t>Requesting Instructions</w:t>
      </w:r>
      <w:r>
        <w:rPr/>
        <w:t>.   The Agent may at any time request written directions from the Suppliers as to any course of action or any matter relating to the performance of its duties under this Agreement, and the Suppliers shall respond to such request in a reasonably prompt manner.   The Agent may refrain from taking any action unless and until the Agent shall have received written instructions from the Requisite Suppliers, and the Agent shall not incur liability to any person by reason of so refraining.  The Agent may refrain from taking any action if the Agent has reason to believe that such action would be contrary to any laws.  No Supplier shall have any right of action against the Agent as a result of the Agent acting or refraining from acting in accordance with the instructions of the Requisite Suppliers.</w:t>
      </w:r>
    </w:p>
    <w:p>
      <w:pPr>
        <w:pStyle w:val="Normal"/>
        <w:tabs>
          <w:tab w:val="clear" w:pos="720"/>
          <w:tab w:val="left" w:pos="0" w:leader="none"/>
        </w:tabs>
        <w:suppressAutoHyphens w:val="true"/>
        <w:spacing w:before="0" w:after="240"/>
        <w:ind w:firstLine="720" w:start="720" w:end="0"/>
        <w:rPr/>
      </w:pPr>
      <w:r>
        <w:rPr/>
        <w:t xml:space="preserve">2.6 </w:t>
        <w:tab/>
      </w:r>
      <w:r>
        <w:rPr>
          <w:u w:val="single"/>
        </w:rPr>
        <w:t>Nature of Duties; Independent Credit Investigation</w:t>
      </w:r>
      <w:r>
        <w:rPr/>
        <w:t>.  The Agent shall have no duties or responsibilities except those expressly set forth in this Agreement and no implied covenants, functions, responsibilities, duties, obligations or liabilities shall be read into this Agreement or otherwise exist.  The duties of the Agent shall be mechanical and administrative in nature.  The Agent shall not have by reason of this Agreement a fiduciary or trust relationship in respect to any Supplier, and nothing in this Agreement, express or implied, is intended to or shall be so construed as to impose upon the Agent any obligations in respect of this Agreement except as expressly set forth herein.  Each Supplier expressly acknowledges that (i) the Agent has not made any representations or warranties to it and that no act by the Agent hereafter taken, including any review of the affairs of any of the persons party to the Security Agreement, shall be deemed to constitute any representation or warranty by the Agent to any Supplier and (ii) it has made and will continue to make, without reliance upon the Agent, its own independent investigation of the financial condition and affairs and its own appraisal of the creditworthiness of each of the persons party to the Security Agreement and the condition and value of the Collateral in connection with the Security Agreement.</w:t>
      </w:r>
    </w:p>
    <w:p>
      <w:pPr>
        <w:pStyle w:val="Normal"/>
        <w:tabs>
          <w:tab w:val="clear" w:pos="720"/>
          <w:tab w:val="left" w:pos="0" w:leader="none"/>
        </w:tabs>
        <w:suppressAutoHyphens w:val="true"/>
        <w:spacing w:before="0" w:after="240"/>
        <w:ind w:firstLine="720" w:start="720" w:end="0"/>
        <w:rPr/>
      </w:pPr>
      <w:r>
        <w:rPr/>
        <w:t xml:space="preserve">2.7 </w:t>
        <w:tab/>
      </w:r>
      <w:r>
        <w:rPr>
          <w:u w:val="single"/>
        </w:rPr>
        <w:t>Retention of Attorneys and Other Agents</w:t>
      </w:r>
      <w:r>
        <w:rPr/>
        <w:t>.  The Agent may perform any of its duties under this Agreement or the Security Agreement by or through attorneys, agents or other persons reasonably deemed appropriate by the Agent.  The Agent may act in good faith reliance upon the opinion or advice of attorneys, accountants and other experts selected by it.  The Agent may pay, and shall be indemnified hereunder with respect to, customary and reasonable compensation to all such attorneys, agents or other persons.</w:t>
      </w:r>
    </w:p>
    <w:p>
      <w:pPr>
        <w:pStyle w:val="Normal"/>
        <w:tabs>
          <w:tab w:val="clear" w:pos="720"/>
          <w:tab w:val="left" w:pos="0" w:leader="none"/>
        </w:tabs>
        <w:suppressAutoHyphens w:val="true"/>
        <w:spacing w:before="0" w:after="240"/>
        <w:ind w:firstLine="720" w:start="720" w:end="0"/>
        <w:rPr/>
      </w:pPr>
      <w:r>
        <w:rPr/>
        <w:t xml:space="preserve">2.8 </w:t>
        <w:tab/>
      </w:r>
      <w:r>
        <w:rPr>
          <w:u w:val="single"/>
        </w:rPr>
        <w:t>Exculpatory Provisions</w:t>
      </w:r>
      <w:r>
        <w:rPr/>
        <w:t>.   Neither the Agent, nor any of its respective directors, officers, employees, agents, attorneys or affiliates shall (i) be liable to any Supplier for any action taken or omitted to be taken by it or them pursuant to this Agreement or the Security Agreement unless caused by its or its respective directors, officers, employees, agents, attorneys or affiliates own gross negligence or willful misconduct, (ii) be responsible in any manner to any of the Suppliers for the effectiveness, enforceability, genuineness, validity or due execution of this Agreement or the Security Agreement, for the priority or perfection of any lien in the Collateral or for any recital, representation, warranty, document, certificate, report or statement herein or made or furnished under or in connection with this Agreement or the Security Agreement, or (iii) be under any obligation to any of the Suppliers to ascertain or to inquire as to the performance or observance of any of the terms, covenants or conditions hereof or thereof on the part of the persons party to the Security Agreement, the financial condition of such persons, or the existence or possible existence of any Event of Default.</w:t>
      </w:r>
    </w:p>
    <w:p>
      <w:pPr>
        <w:pStyle w:val="Normal"/>
        <w:tabs>
          <w:tab w:val="clear" w:pos="720"/>
          <w:tab w:val="left" w:pos="0" w:leader="none"/>
        </w:tabs>
        <w:suppressAutoHyphens w:val="true"/>
        <w:spacing w:before="0" w:after="240"/>
        <w:ind w:firstLine="720" w:start="720" w:end="0"/>
        <w:rPr/>
      </w:pPr>
      <w:r>
        <w:rPr/>
        <w:t xml:space="preserve">2.9 </w:t>
        <w:tab/>
      </w:r>
      <w:r>
        <w:rPr>
          <w:u w:val="single"/>
        </w:rPr>
        <w:t>Indemnification of Agent</w:t>
      </w:r>
      <w:r>
        <w:rPr/>
        <w:t>. Each Supplier agrees to indemnify Agent, ratably in accordance with its proportionate share of payments made by PG&amp;E during the term of the Security Agreement, for any and all liabilities, obligations, losses, damages, penalties, actions, judgments, suits, costs, expenses or disbursements of any kind or nature whatsoever which may at any time be imposed on, incurred by or asserted against Agent in any way relating to or arising out of the Security Agreement or any documents contemplated by or referred to herein or therein or the transactions contemplated hereby or thereby or the enforcement of any of the terms hereof or thereof; provided, however, that no Supplier shall be liable for any of the foregoing to the extent they arise from Agent's gross negligence or willful misconduct.  The obligations of each Supplier under this Section 2.9 shall survive the payment and performance of the Secured Obligations, the termination of the Security Agreement and any Supplier ceasing to be a party to the Security Agreement (with respect to events which occurred prior to the time such Supplier ceased to be a Supplier hereunder).</w:t>
      </w:r>
    </w:p>
    <w:p>
      <w:pPr>
        <w:pStyle w:val="Normal"/>
        <w:tabs>
          <w:tab w:val="clear" w:pos="720"/>
          <w:tab w:val="left" w:pos="0" w:leader="none"/>
        </w:tabs>
        <w:suppressAutoHyphens w:val="true"/>
        <w:spacing w:before="0" w:after="240"/>
        <w:ind w:firstLine="720" w:start="720" w:end="0"/>
        <w:rPr/>
      </w:pPr>
      <w:r>
        <w:rPr/>
        <w:t xml:space="preserve">2.10 </w:t>
        <w:tab/>
      </w:r>
      <w:r>
        <w:rPr>
          <w:u w:val="single"/>
        </w:rPr>
        <w:t>Payment of Fees</w:t>
      </w:r>
      <w:r>
        <w:rPr/>
        <w:t>.  Pursuant to the terms of the Security Agreement, PG&amp;E shall pay the reasonable fees and expenses of Agent in accordance with a fee schedule provided to PG&amp;E prior to the execution of the Security Agreement, including reasonable fees and expenses incurred by Agent in enforcing the Security Agreement.</w:t>
      </w:r>
    </w:p>
    <w:p>
      <w:pPr>
        <w:pStyle w:val="Normal"/>
        <w:tabs>
          <w:tab w:val="clear" w:pos="720"/>
          <w:tab w:val="left" w:pos="0" w:leader="none"/>
        </w:tabs>
        <w:suppressAutoHyphens w:val="true"/>
        <w:spacing w:before="0" w:after="240"/>
        <w:ind w:firstLine="720" w:start="720" w:end="0"/>
        <w:rPr/>
      </w:pPr>
      <w:r>
        <w:rPr/>
        <w:t xml:space="preserve">2.11 </w:t>
        <w:tab/>
      </w:r>
      <w:r>
        <w:rPr>
          <w:u w:val="single"/>
        </w:rPr>
        <w:t>Reliance by Agent</w:t>
      </w:r>
      <w:r>
        <w:rPr/>
        <w:t>.  The Agent shall be entitled to rely upon any writing, telegram, telex or teletype message, resolution, notice, consent, certificate, letter, statement, order or other document or conversation by telephone or otherwise believed by it to be genuine and correct and to have been signed, sent or made by the proper person or persons, and upon the advice and opinions of counsel and other professional advisers selected by the Agent.  Agent shall be fully justified in failing or refusing to take any action hereunder unless it shall first be indemnified to its satisfaction by the Suppliers against any and all liability and expense (other than a liability or expense relating to gross negligence or willful misconduct) which may be incurred by it by reason of taking or continuing to take any such action.</w:t>
      </w:r>
    </w:p>
    <w:p>
      <w:pPr>
        <w:pStyle w:val="Normal"/>
        <w:tabs>
          <w:tab w:val="clear" w:pos="720"/>
          <w:tab w:val="left" w:pos="0" w:leader="none"/>
        </w:tabs>
        <w:suppressAutoHyphens w:val="true"/>
        <w:spacing w:before="0" w:after="240"/>
        <w:ind w:firstLine="720" w:start="720" w:end="0"/>
        <w:rPr/>
      </w:pPr>
      <w:r>
        <w:rPr/>
        <w:t xml:space="preserve">2.12 </w:t>
        <w:tab/>
      </w:r>
      <w:r>
        <w:rPr>
          <w:u w:val="single"/>
        </w:rPr>
        <w:t>Notice of Default</w:t>
      </w:r>
      <w:r>
        <w:rPr/>
        <w:t>.  The Agent shall not be deemed to have knowledge or notice of the occurrence of any Event of Default unless the Agent has received written notice from a Supplier or PG&amp;E referring to this Agreement, describing such Event of Default and stating that such notice is a “notice of default.”</w:t>
      </w:r>
    </w:p>
    <w:p>
      <w:pPr>
        <w:pStyle w:val="Normal"/>
        <w:tabs>
          <w:tab w:val="clear" w:pos="720"/>
          <w:tab w:val="left" w:pos="0" w:leader="none"/>
        </w:tabs>
        <w:suppressAutoHyphens w:val="true"/>
        <w:spacing w:before="0" w:after="240"/>
        <w:ind w:firstLine="720" w:start="720" w:end="0"/>
        <w:rPr/>
      </w:pPr>
      <w:r>
        <w:rPr/>
        <w:t>2.13</w:t>
        <w:tab/>
      </w:r>
      <w:r>
        <w:rPr>
          <w:u w:val="single"/>
        </w:rPr>
        <w:t>Recourse to the Collateral</w:t>
      </w:r>
      <w:r>
        <w:rPr/>
        <w:t>.  Each Supplier agrees that it will have recourse to the Collateral only through the Agent, that it shall have no independent recourse thereto and that without the prior written consent of the Requisite Suppliers, it shall refrain from exercising any rights or remedies under the Security Agreement with respect to the Collateral accorded to such Supplier upon the occurrence of an Event of Default under the Security Agreement, except that subject to the terms and conditions of this Agreement any Supplier may exercise any right of set-off it may have with respect to any property of PG&amp;E.</w:t>
      </w:r>
    </w:p>
    <w:p>
      <w:pPr>
        <w:pStyle w:val="Normal"/>
        <w:tabs>
          <w:tab w:val="clear" w:pos="720"/>
          <w:tab w:val="left" w:pos="0" w:leader="none"/>
        </w:tabs>
        <w:suppressAutoHyphens w:val="true"/>
        <w:spacing w:before="0" w:after="240"/>
        <w:ind w:firstLine="720" w:start="720" w:end="0"/>
        <w:rPr/>
      </w:pPr>
      <w:r>
        <w:rPr/>
        <w:t xml:space="preserve">2.14 </w:t>
        <w:tab/>
      </w:r>
      <w:r>
        <w:rPr>
          <w:u w:val="single"/>
        </w:rPr>
        <w:t>Resignation of Agent</w:t>
      </w:r>
      <w:r>
        <w:rPr/>
        <w:t>.</w:t>
      </w:r>
    </w:p>
    <w:p>
      <w:pPr>
        <w:pStyle w:val="Normal"/>
        <w:tabs>
          <w:tab w:val="clear" w:pos="720"/>
          <w:tab w:val="left" w:pos="0" w:leader="none"/>
        </w:tabs>
        <w:suppressAutoHyphens w:val="true"/>
        <w:spacing w:before="0" w:after="240"/>
        <w:ind w:firstLine="720" w:start="720" w:end="0"/>
        <w:rPr/>
      </w:pPr>
      <w:r>
        <w:rPr/>
        <w:t>(a)</w:t>
        <w:tab/>
        <w:t>The Agent may resign at any time upon notice to the Suppliers and may be removed at any time upon the written request of the Requisite Suppliers sent to the Agent.</w:t>
      </w:r>
    </w:p>
    <w:p>
      <w:pPr>
        <w:pStyle w:val="Normal"/>
        <w:tabs>
          <w:tab w:val="clear" w:pos="720"/>
          <w:tab w:val="left" w:pos="0" w:leader="none"/>
        </w:tabs>
        <w:suppressAutoHyphens w:val="true"/>
        <w:spacing w:before="0" w:after="240"/>
        <w:ind w:firstLine="720" w:start="720" w:end="0"/>
        <w:rPr/>
      </w:pPr>
      <w:r>
        <w:rPr/>
        <w:t>(b)</w:t>
        <w:tab/>
        <w:t>If the Agent resigns or is removed, the Requisite Suppliers shall select and appoint a replacement Agent by notice to the retiring Agent and give prompt notice of such appointment to the retiring Agent; provided, however, that so long as no Event of Default under the Security Agreement has occurred and is continuing, no such appointment shall be effective without the prior written consent of PG&amp;E, which consent will not be unreasonably withheld or delayed.</w:t>
      </w:r>
    </w:p>
    <w:p>
      <w:pPr>
        <w:pStyle w:val="Normal"/>
        <w:tabs>
          <w:tab w:val="clear" w:pos="720"/>
          <w:tab w:val="left" w:pos="0" w:leader="none"/>
        </w:tabs>
        <w:suppressAutoHyphens w:val="true"/>
        <w:spacing w:before="0" w:after="240"/>
        <w:ind w:firstLine="720" w:start="720" w:end="0"/>
        <w:rPr/>
      </w:pPr>
      <w:r>
        <w:rPr/>
        <w:t>(c)</w:t>
        <w:tab/>
        <w:t>Upon any replacement of the Agent, the retiring Agent shall assign to the new Agent, without recourse to the retiring Agent, (i) all of the liens on all Collateral granted to the Agent pursuant to the Security Agreement, and (ii) all right, title and interest of the Agent under this Agreement and the Security Agreement.</w:t>
      </w:r>
    </w:p>
    <w:p>
      <w:pPr>
        <w:pStyle w:val="Normal"/>
        <w:tabs>
          <w:tab w:val="clear" w:pos="720"/>
          <w:tab w:val="left" w:pos="0" w:leader="none"/>
        </w:tabs>
        <w:suppressAutoHyphens w:val="true"/>
        <w:spacing w:before="0" w:after="240"/>
        <w:ind w:firstLine="720" w:start="720" w:end="0"/>
        <w:rPr/>
      </w:pPr>
      <w:r>
        <w:rPr/>
        <w:t>(d)</w:t>
        <w:tab/>
        <w:t>If no successor Agent is appointed within sixty days following a retiring Agent’s notice of resignation, the retiring Agent’s resignation shall nevertheless thereupon become effective and the Requisite Suppliers shall perform all of the duties of the Agent hereunder until such time, if any, that the Requisite Suppliers appoint a successor Agent.</w:t>
      </w:r>
    </w:p>
    <w:p>
      <w:pPr>
        <w:pStyle w:val="Normal"/>
        <w:tabs>
          <w:tab w:val="clear" w:pos="720"/>
          <w:tab w:val="left" w:pos="0" w:leader="none"/>
        </w:tabs>
        <w:suppressAutoHyphens w:val="true"/>
        <w:spacing w:before="0" w:after="240"/>
        <w:ind w:firstLine="720" w:start="720" w:end="0"/>
        <w:rPr/>
      </w:pPr>
      <w:r>
        <w:rPr/>
        <w:t>2.15</w:t>
        <w:tab/>
      </w:r>
      <w:r>
        <w:rPr>
          <w:u w:val="single"/>
        </w:rPr>
        <w:t>Beneficiaries</w:t>
      </w:r>
      <w:r>
        <w:rPr/>
        <w:t>.  Except as expressly provided in this Agreement, the provisions hereof are solely for the benefit of the Agent and the Suppliers, and PG&amp;E shall not have any rights to rely on or enforce any of the provisions hereof.  In performing its functions and duties under this Agreement, the Agent shall act solely as agent of the Suppliers and does not assume and shall not be deemed to have assumed any obligation toward or relationship of agency or trust with or for PG&amp;E.</w:t>
      </w:r>
    </w:p>
    <w:p>
      <w:pPr>
        <w:pStyle w:val="Normal"/>
        <w:suppressAutoHyphens w:val="true"/>
        <w:spacing w:before="0" w:after="240"/>
        <w:ind w:firstLine="720" w:end="0"/>
        <w:rPr/>
      </w:pPr>
      <w:r>
        <w:rPr/>
        <w:t>3.</w:t>
        <w:tab/>
      </w:r>
      <w:r>
        <w:rPr>
          <w:u w:val="single"/>
        </w:rPr>
        <w:t>Proceeds</w:t>
      </w:r>
      <w:r>
        <w:rPr/>
        <w:t>.</w:t>
      </w:r>
    </w:p>
    <w:p>
      <w:pPr>
        <w:pStyle w:val="Normal"/>
        <w:tabs>
          <w:tab w:val="clear" w:pos="720"/>
          <w:tab w:val="left" w:pos="0" w:leader="none"/>
        </w:tabs>
        <w:suppressAutoHyphens w:val="true"/>
        <w:spacing w:before="0" w:after="240"/>
        <w:ind w:firstLine="720" w:start="720" w:end="0"/>
        <w:rPr/>
      </w:pPr>
      <w:r>
        <w:rPr/>
        <w:t>3.1</w:t>
        <w:tab/>
      </w:r>
      <w:r>
        <w:rPr>
          <w:u w:val="single"/>
        </w:rPr>
        <w:t>Application of Proceeds</w:t>
      </w:r>
      <w:r>
        <w:rPr/>
        <w:t>.  All Proceeds received after the Determination Date shall be held by the Agent and applied in the following order of priority:</w:t>
      </w:r>
    </w:p>
    <w:p>
      <w:pPr>
        <w:pStyle w:val="Normal"/>
        <w:tabs>
          <w:tab w:val="clear" w:pos="720"/>
          <w:tab w:val="left" w:pos="0" w:leader="none"/>
        </w:tabs>
        <w:suppressAutoHyphens w:val="true"/>
        <w:spacing w:before="0" w:after="240"/>
        <w:ind w:firstLine="720" w:start="1440" w:end="0"/>
        <w:rPr/>
      </w:pPr>
      <w:r>
        <w:rPr/>
        <w:t>(a)</w:t>
        <w:tab/>
        <w:t>first, to the Agent to reimburse the Agent for payment of its reasonable costs and expenses relating to the performance of its duties under this Agreement and the prosecution of all Enforcement Actions undertaken by the Agent, including fees and expenses of counsel, and all other amounts due to the Agent in its capacity as such, to the extent that those such costs and expenses have not already been paid by PG&amp;E;</w:t>
      </w:r>
    </w:p>
    <w:p>
      <w:pPr>
        <w:pStyle w:val="Normal"/>
        <w:tabs>
          <w:tab w:val="clear" w:pos="720"/>
          <w:tab w:val="left" w:pos="0" w:leader="none"/>
        </w:tabs>
        <w:suppressAutoHyphens w:val="true"/>
        <w:spacing w:before="0" w:after="240"/>
        <w:ind w:firstLine="720" w:start="1440" w:end="0"/>
        <w:rPr/>
      </w:pPr>
      <w:r>
        <w:rPr/>
        <w:t>(b)</w:t>
        <w:tab/>
        <w:t>second, to the Suppliers in payment of the Amount Owed to the Suppliers in accordance with their respective Pro Rata Shares, until the aggregate Amount Owed is paid in full; and</w:t>
      </w:r>
    </w:p>
    <w:p>
      <w:pPr>
        <w:pStyle w:val="Normal"/>
        <w:tabs>
          <w:tab w:val="clear" w:pos="720"/>
          <w:tab w:val="left" w:pos="0" w:leader="none"/>
        </w:tabs>
        <w:suppressAutoHyphens w:val="true"/>
        <w:spacing w:before="0" w:after="240"/>
        <w:ind w:firstLine="720" w:start="1440" w:end="0"/>
        <w:rPr/>
      </w:pPr>
      <w:r>
        <w:rPr/>
        <w:t>(c)</w:t>
        <w:tab/>
        <w:t>third, any surplus, after payment in full of all Secured Obligations, to the person or persons, including PG&amp;E, lawfully entitled to receive the same or as a court of competent jurisdiction may direct.</w:t>
      </w:r>
    </w:p>
    <w:p>
      <w:pPr>
        <w:pStyle w:val="Normal"/>
        <w:suppressAutoHyphens w:val="true"/>
        <w:spacing w:before="0" w:after="240"/>
        <w:ind w:start="720" w:end="0"/>
        <w:rPr/>
      </w:pPr>
      <w:r>
        <w:rPr/>
        <w:t>Any such Proceeds received by the Agent, until applied as set forth above, shall be held by the Agent in such account as the Requisite Suppliers may direct, or, in the absence of such direction, in its custody in such account as Agent may determine.</w:t>
      </w:r>
    </w:p>
    <w:p>
      <w:pPr>
        <w:pStyle w:val="Normal"/>
        <w:tabs>
          <w:tab w:val="clear" w:pos="720"/>
          <w:tab w:val="left" w:pos="0" w:leader="none"/>
        </w:tabs>
        <w:suppressAutoHyphens w:val="true"/>
        <w:spacing w:before="0" w:after="240"/>
        <w:ind w:firstLine="720" w:start="720" w:end="0"/>
        <w:rPr/>
      </w:pPr>
      <w:r>
        <w:rPr/>
        <w:t>Section 3.2</w:t>
        <w:tab/>
      </w:r>
      <w:r>
        <w:rPr>
          <w:u w:val="single"/>
        </w:rPr>
        <w:t>Application of Proceeds by Suppliers</w:t>
      </w:r>
      <w:r>
        <w:rPr/>
        <w:t>.  The distribution provisions of this Section 3 are for the purpose of determining the relative amounts to be distributed to the Suppliers and not for the purpose of determining the manner in which any amount distributed to each Supplier is actually to be applied to pay the Secured Obligations owing to such Supplier, which application shall be made as provided in accordance with the Supply Agreements or other agreements, documents or instruments to which such Supplier and PG&amp;E are parties.</w:t>
      </w:r>
    </w:p>
    <w:p>
      <w:pPr>
        <w:pStyle w:val="AG-SingleSpFL5J"/>
        <w:keepNext w:val="true"/>
        <w:keepLines/>
        <w:rPr/>
      </w:pPr>
      <w:r>
        <w:rPr/>
        <w:t>4.</w:t>
        <w:tab/>
      </w:r>
      <w:r>
        <w:rPr>
          <w:u w:val="single"/>
        </w:rPr>
        <w:t>Allocation Reports</w:t>
      </w:r>
      <w:r>
        <w:rPr/>
        <w:t xml:space="preserve">.  </w:t>
      </w:r>
    </w:p>
    <w:p>
      <w:pPr>
        <w:pStyle w:val="Normal"/>
        <w:keepNext w:val="true"/>
        <w:keepLines/>
        <w:tabs>
          <w:tab w:val="clear" w:pos="720"/>
          <w:tab w:val="left" w:pos="0" w:leader="none"/>
        </w:tabs>
        <w:suppressAutoHyphens w:val="true"/>
        <w:spacing w:before="0" w:after="240"/>
        <w:ind w:firstLine="720" w:start="720" w:end="0"/>
        <w:rPr/>
      </w:pPr>
      <w:r>
        <w:rPr/>
        <w:t>Section 4.1</w:t>
        <w:tab/>
      </w:r>
      <w:r>
        <w:rPr>
          <w:u w:val="single"/>
        </w:rPr>
        <w:t>Reports by Suppliers</w:t>
      </w:r>
      <w:r>
        <w:rPr/>
        <w:t>.  No later 5:00 p.m., California time, on Monday of each week (or, if such day is not a business day, the next business day), each Supplier shall transmit by facsimile to the Agent a report in the form of Exhibit A hereto (the “</w:t>
      </w:r>
      <w:r>
        <w:rPr>
          <w:u w:val="single"/>
        </w:rPr>
        <w:t>Supplier Report</w:t>
      </w:r>
      <w:r>
        <w:rPr/>
        <w:t xml:space="preserve">”) setting forth the aggregate Amount Owed to such Supplier as of the close of business on the preceding Friday. </w:t>
      </w:r>
    </w:p>
    <w:p>
      <w:pPr>
        <w:pStyle w:val="Normal"/>
        <w:tabs>
          <w:tab w:val="clear" w:pos="720"/>
          <w:tab w:val="left" w:pos="0" w:leader="none"/>
        </w:tabs>
        <w:suppressAutoHyphens w:val="true"/>
        <w:spacing w:before="0" w:after="240"/>
        <w:ind w:firstLine="720" w:start="720" w:end="0"/>
        <w:rPr/>
      </w:pPr>
      <w:r>
        <w:rPr/>
        <w:t>Section 4.2</w:t>
        <w:tab/>
      </w:r>
      <w:r>
        <w:rPr>
          <w:u w:val="single"/>
        </w:rPr>
        <w:t>Summary Report by Agent</w:t>
      </w:r>
      <w:r>
        <w:rPr/>
        <w:t>.  No later than 5:00 p.m., California time, on Wednesday of each week, the Agent shall transmit by facsimile to PG&amp;E and to each Supplier a summary allocation report in the form of Exhibit B hereto (the “</w:t>
      </w:r>
      <w:r>
        <w:rPr>
          <w:u w:val="single"/>
        </w:rPr>
        <w:t>Allocation Report</w:t>
      </w:r>
      <w:r>
        <w:rPr/>
        <w:t>”) setting forth the information provided by each Supplier.</w:t>
      </w:r>
    </w:p>
    <w:p>
      <w:pPr>
        <w:pStyle w:val="AG-SingleSpFL5J"/>
        <w:ind w:start="720" w:end="0"/>
        <w:rPr/>
      </w:pPr>
      <w:r>
        <w:rPr/>
        <w:t>Section 4.3</w:t>
        <w:tab/>
      </w:r>
      <w:r>
        <w:rPr>
          <w:u w:val="single"/>
        </w:rPr>
        <w:t>Missing Reports</w:t>
      </w:r>
      <w:r>
        <w:rPr/>
        <w:t>.  If any Supplier fails to send to the Agent a Supplier Report within the time specified in Section 4.1 hereof, the Agent shall include in the Allocation Report the aggregate Amount Owed to such Supplier as set forth in the most recent Supplier Report provided by such Supplier or, if no such report exists, the Amount Owed shall be deemed to be zero.</w:t>
      </w:r>
    </w:p>
    <w:p>
      <w:pPr>
        <w:pStyle w:val="AG-SingleSpFL5J"/>
        <w:rPr/>
      </w:pPr>
      <w:r>
        <w:rPr/>
        <w:t>5.</w:t>
        <w:tab/>
      </w:r>
      <w:r>
        <w:rPr>
          <w:u w:val="single"/>
        </w:rPr>
        <w:t>Notices</w:t>
      </w:r>
      <w:r>
        <w:rPr/>
        <w:t>.  All notices under this Agreement shall be in writing and shall be (a) delivered in person, (b) sent by telecopy or (c) mailed, postage prepaid, either by registered or certified mail, return receipt requested, or by overnight express courier, addressed to the address specified for notices in Schedule I hereto or to any other address or telecopy number, as to any of the parties hereto, as such party shall designate in a notice to the other parties hereto.  All notices sent pursuant to the terms of this Section 4 shall be deemed received (i) if personally delivered, then on the business day of delivery, (ii) if sent by telecopy, on the day sent if a business day or if such day is not a business day, then on the next business day, (iii) if sent by registered or certified mail, on the earlier of the third business day following the day sent or when actually received or (iv) if sent by overnight, express courier, on the next business day immediately following the day sent.  Any notice by telecopy shall be followed by delivery of a copy of such notice on the next business day by overnight, express courier or by personal delivery.</w:t>
      </w:r>
    </w:p>
    <w:p>
      <w:pPr>
        <w:pStyle w:val="AG-SingleSpFL5"/>
        <w:rPr/>
      </w:pPr>
      <w:r>
        <w:rPr/>
        <w:t>6.</w:t>
        <w:tab/>
      </w:r>
      <w:r>
        <w:rPr>
          <w:u w:val="single"/>
        </w:rPr>
        <w:t>Severability</w:t>
      </w:r>
      <w:r>
        <w:rPr/>
        <w:t>.  In the event that any provision of this Agreement is deemed to be invalid by reason of the operation of any law or by reason of the interpretation placed thereon by any court or governmental authority,  the validity, legality and enforceability of the remaining terms and provisions of this Agreement shall not in any way be affected or impaired thereby, all of which shall remain in full force and effect, and the affected term or provision shall be modified to the minimum extent permitted by law so as to achieve most fully the intention of this Agreement.</w:t>
      </w:r>
    </w:p>
    <w:p>
      <w:pPr>
        <w:pStyle w:val="AG-SingleSpFL5"/>
        <w:rPr/>
      </w:pPr>
      <w:r>
        <w:rPr/>
        <w:t>7.</w:t>
        <w:tab/>
      </w:r>
      <w:r>
        <w:rPr>
          <w:u w:val="single"/>
        </w:rPr>
        <w:t>Successors and Assigns</w:t>
      </w:r>
      <w:r>
        <w:rPr/>
        <w:t>.  This Agreement shall be binding upon and inure to the benefit of the successors and assigns of the parties hereto.</w:t>
      </w:r>
    </w:p>
    <w:p>
      <w:pPr>
        <w:pStyle w:val="AG-SingleSpFL5"/>
        <w:rPr/>
      </w:pPr>
      <w:r>
        <w:rPr/>
        <w:t>8.</w:t>
        <w:tab/>
      </w:r>
      <w:r>
        <w:rPr>
          <w:u w:val="single"/>
        </w:rPr>
        <w:t>Counterparts</w:t>
      </w:r>
      <w:r>
        <w:rPr/>
        <w:t>.  This Agreement may be executed in one or more counterparts, each of which shall be deemed to be an original, but all of which taken together shall be one and the same instrument.</w:t>
      </w:r>
    </w:p>
    <w:p>
      <w:pPr>
        <w:pStyle w:val="AG-SingleSpFL5"/>
        <w:rPr/>
      </w:pPr>
      <w:r>
        <w:rPr/>
        <w:t>9.</w:t>
        <w:tab/>
      </w:r>
      <w:r>
        <w:rPr>
          <w:u w:val="single"/>
        </w:rPr>
        <w:t>Defines Rights of Creditors</w:t>
      </w:r>
      <w:r>
        <w:rPr/>
        <w:t>.  The provisions of this Agreement are solely for the purpose of defining the relative rights of the Agent and the Suppliers and shall not be deemed to create any rights or priorities in favor of any other person.</w:t>
      </w:r>
    </w:p>
    <w:p>
      <w:pPr>
        <w:pStyle w:val="AG-SingleSpFL5"/>
        <w:rPr/>
      </w:pPr>
      <w:r>
        <w:rPr/>
        <w:t>10.</w:t>
        <w:tab/>
      </w:r>
      <w:r>
        <w:rPr>
          <w:u w:val="single"/>
        </w:rPr>
        <w:t>Conflicts</w:t>
      </w:r>
      <w:r>
        <w:rPr/>
        <w:t>.   In the event of any conflict between the provisions of this Agreement and the provisions of any of the Security Agreement or Supply Agreements, the provisions of this Agreement shall control.</w:t>
      </w:r>
    </w:p>
    <w:p>
      <w:pPr>
        <w:pStyle w:val="AG-SingleSpFL5"/>
        <w:rPr/>
      </w:pPr>
      <w:r>
        <w:rPr/>
        <w:t>11.</w:t>
        <w:tab/>
      </w:r>
      <w:r>
        <w:rPr>
          <w:u w:val="single"/>
        </w:rPr>
        <w:t>Amendments, Waivers and Consents</w:t>
      </w:r>
      <w:r>
        <w:rPr/>
        <w:t>.  All amendments and waivers of, and consents to the departure from, any provision of this Agreement shall be effective only if the same shall be in writing and signed by the Requisite Suppliers and the Agent.</w:t>
      </w:r>
    </w:p>
    <w:p>
      <w:pPr>
        <w:pStyle w:val="AG-SingleSpFL5"/>
        <w:rPr/>
      </w:pPr>
      <w:r>
        <w:rPr/>
        <w:t>12.</w:t>
        <w:tab/>
      </w:r>
      <w:r>
        <w:rPr>
          <w:u w:val="single"/>
        </w:rPr>
        <w:t>Captions</w:t>
      </w:r>
      <w:r>
        <w:rPr/>
        <w:t>.   Section and other headings used in this Agreement are for convenience only and shall not affect the construction hereof.</w:t>
      </w:r>
    </w:p>
    <w:p>
      <w:pPr>
        <w:pStyle w:val="AG-SingleSpFL5"/>
        <w:rPr/>
      </w:pPr>
      <w:r>
        <w:rPr/>
        <w:t>13.</w:t>
        <w:tab/>
      </w:r>
      <w:r>
        <w:rPr>
          <w:u w:val="single"/>
        </w:rPr>
        <w:t>Termination</w:t>
      </w:r>
      <w:r>
        <w:rPr/>
        <w:t>.  This Agreement shall terminate on the earlier to occur of the date (i) when all Secured Obligations are indefeasibly paid in full in cash and such payments are not subject to any possibility of revocation or rescission and (ii) all of the parties hereto mutually agree in writing to terminate this Agreement.</w:t>
      </w:r>
    </w:p>
    <w:p>
      <w:pPr>
        <w:pStyle w:val="AG-SingleSpFL5"/>
        <w:rPr/>
      </w:pPr>
      <w:r>
        <w:rPr/>
        <w:t>14.</w:t>
        <w:tab/>
      </w:r>
      <w:r>
        <w:rPr>
          <w:u w:val="single"/>
        </w:rPr>
        <w:t>Governing Law</w:t>
      </w:r>
      <w:r>
        <w:rPr/>
        <w:t>.  This Agreement shall be construed in accordance with and governed as to validity, interpretation, construction, effect and in all other respects by the laws and decisions of the State of California.</w:t>
      </w:r>
    </w:p>
    <w:p>
      <w:pPr>
        <w:pStyle w:val="AG-SingleSpFL5"/>
        <w:rPr/>
      </w:pPr>
      <w:r>
        <w:rPr/>
        <w:t>15.</w:t>
        <w:tab/>
      </w:r>
      <w:r>
        <w:rPr>
          <w:u w:val="single"/>
        </w:rPr>
        <w:t>Additional Suppliers</w:t>
      </w:r>
      <w:r>
        <w:rPr/>
        <w:t>.  Additional suppliers of natural gas to PG&amp;E may become parties hereto and to the Security Agreement as additional “Suppliers,” upon the execution of the Form of Supplier Joinder Agreement attached as an exhibit to the Security Agreement.  Any supplier that executes and delivers to PG&amp;E and the Agent such Joinder Agreement shall be deemed a “Supplier” for all purposes hereunder after the effective date of PG&amp;E’s acceptance of such delivery.</w:t>
      </w:r>
    </w:p>
    <w:p>
      <w:pPr>
        <w:pStyle w:val="AG-SingleSpFL5"/>
        <w:rPr/>
      </w:pPr>
      <w:r>
        <w:rPr/>
        <w:t>16.</w:t>
        <w:tab/>
      </w:r>
      <w:r>
        <w:rPr>
          <w:u w:val="single"/>
        </w:rPr>
        <w:t>Confidentiality</w:t>
      </w:r>
      <w:r>
        <w:rPr/>
        <w:t>.  All information provided to each of the parties hereto shall remain confidential and shall not be provided to any other party except as specifically provided in Section 4 hereof or as may be required by any applicable law, rule or regulation.  In no event will the specific terms of any transactions between PG&amp;E and any Supplier be disclosed to any other person except as may be required by any applicable law, rule or regulation.</w:t>
      </w:r>
    </w:p>
    <w:p>
      <w:pPr>
        <w:pStyle w:val="Normal"/>
        <w:suppressAutoHyphens w:val="true"/>
        <w:jc w:val="center"/>
        <w:rPr/>
      </w:pPr>
      <w:r>
        <w:rPr/>
        <w:t>[signature page follows]</w:t>
      </w:r>
      <w:r>
        <w:br w:type="page"/>
      </w:r>
    </w:p>
    <w:p>
      <w:pPr>
        <w:pStyle w:val="Normal"/>
        <w:suppressAutoHyphens w:val="true"/>
        <w:spacing w:before="0" w:after="240"/>
        <w:ind w:firstLine="720" w:end="0"/>
        <w:rPr/>
      </w:pPr>
      <w:r>
        <w:rPr/>
        <w:t>IN WITNESS WHEREOF, the parties hereto have caused this Agreement to be executed as of the date first above written.</w:t>
      </w:r>
    </w:p>
    <w:p>
      <w:pPr>
        <w:pStyle w:val="Normal"/>
        <w:suppressAutoHyphens w:val="true"/>
        <w:spacing w:before="0" w:after="240"/>
        <w:ind w:firstLine="720" w:end="0"/>
        <w:rPr/>
      </w:pPr>
      <w:r>
        <w:rPr/>
      </w:r>
    </w:p>
    <w:p>
      <w:pPr>
        <w:pStyle w:val="Normal"/>
        <w:tabs>
          <w:tab w:val="clear" w:pos="720"/>
          <w:tab w:val="left" w:pos="4860" w:leader="none"/>
          <w:tab w:val="right" w:pos="9270" w:leader="none"/>
        </w:tabs>
        <w:ind w:start="4320" w:end="0"/>
        <w:rPr/>
      </w:pPr>
      <w:r>
        <w:rPr/>
        <w:t>U.S. Trust Company, National Association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tab/>
        <w:t xml:space="preserve">      Address for Notices::</w:t>
      </w:r>
    </w:p>
    <w:p>
      <w:pPr>
        <w:pStyle w:val="Normal"/>
        <w:tabs>
          <w:tab w:val="clear" w:pos="720"/>
          <w:tab w:val="left" w:pos="4320" w:leader="none"/>
        </w:tabs>
        <w:rPr/>
      </w:pPr>
      <w:r>
        <w:rPr/>
        <w:tab/>
        <w:tab/>
        <w:t>One Embarcadero Center, Suite 2050</w:t>
      </w:r>
    </w:p>
    <w:p>
      <w:pPr>
        <w:pStyle w:val="Normal"/>
        <w:tabs>
          <w:tab w:val="clear" w:pos="720"/>
          <w:tab w:val="left" w:pos="4320" w:leader="none"/>
        </w:tabs>
        <w:rPr/>
      </w:pPr>
      <w:r>
        <w:rPr/>
        <w:tab/>
        <w:tab/>
        <w:t>San Francisco, CA  94111</w:t>
      </w:r>
    </w:p>
    <w:p>
      <w:pPr>
        <w:pStyle w:val="Normal"/>
        <w:tabs>
          <w:tab w:val="clear" w:pos="720"/>
          <w:tab w:val="left" w:pos="4320" w:leader="none"/>
        </w:tabs>
        <w:rPr/>
      </w:pPr>
      <w:r>
        <w:rPr/>
        <w:tab/>
        <w:tab/>
        <w:t>Attn:  Josephine Libunao</w:t>
      </w:r>
    </w:p>
    <w:p>
      <w:pPr>
        <w:pStyle w:val="Normal"/>
        <w:tabs>
          <w:tab w:val="clear" w:pos="720"/>
          <w:tab w:val="left" w:pos="4320" w:leader="none"/>
        </w:tabs>
        <w:rPr/>
      </w:pPr>
      <w:r>
        <w:rPr/>
        <w:tab/>
        <w:tab/>
        <w:t>Corporate Trust Department</w:t>
      </w:r>
    </w:p>
    <w:p>
      <w:pPr>
        <w:pStyle w:val="Normal"/>
        <w:tabs>
          <w:tab w:val="clear" w:pos="720"/>
          <w:tab w:val="left" w:pos="4320" w:leader="none"/>
        </w:tabs>
        <w:rPr/>
      </w:pPr>
      <w:r>
        <w:rPr/>
        <w:tab/>
        <w:tab/>
        <w:t>Telecopy number:  (415) 392-0876</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BP Canada Marketing Corporation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BP Energy Company</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ind w:start="4320" w:end="0"/>
        <w:rPr/>
      </w:pPr>
      <w:r>
        <w:rPr/>
      </w:r>
    </w:p>
    <w:p>
      <w:pPr>
        <w:pStyle w:val="Normal"/>
        <w:tabs>
          <w:tab w:val="clear" w:pos="720"/>
          <w:tab w:val="left" w:pos="4320" w:leader="none"/>
        </w:tabs>
        <w:ind w:start="4320" w:end="0"/>
        <w:rPr/>
      </w:pPr>
      <w:r>
        <w:rPr/>
      </w:r>
    </w:p>
    <w:p>
      <w:pPr>
        <w:pStyle w:val="Normal"/>
        <w:tabs>
          <w:tab w:val="clear" w:pos="720"/>
          <w:tab w:val="left" w:pos="4860" w:leader="none"/>
          <w:tab w:val="right" w:pos="9270" w:leader="none"/>
        </w:tabs>
        <w:ind w:start="4320" w:end="0"/>
        <w:rPr/>
      </w:pPr>
      <w:r>
        <w:rPr/>
        <w:t>Dynegy Canada Marketing &amp; Trade,</w:t>
      </w:r>
    </w:p>
    <w:p>
      <w:pPr>
        <w:pStyle w:val="Normal"/>
        <w:tabs>
          <w:tab w:val="clear" w:pos="720"/>
          <w:tab w:val="left" w:pos="4860" w:leader="none"/>
          <w:tab w:val="right" w:pos="9270" w:leader="none"/>
        </w:tabs>
        <w:ind w:start="4320" w:end="0"/>
        <w:rPr/>
      </w:pPr>
      <w:r>
        <w:rPr/>
        <w:t>A Division of DCI</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Dynegy Marketing &amp; Trade</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r>
        <w:br w:type="page"/>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El Paso Merchant Energy, L.P.</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p>
      <w:pPr>
        <w:pStyle w:val="Normal"/>
        <w:tabs>
          <w:tab w:val="clear" w:pos="720"/>
          <w:tab w:val="left" w:pos="4860" w:leader="none"/>
          <w:tab w:val="right" w:pos="9270" w:leader="none"/>
        </w:tabs>
        <w:ind w:start="4320" w:end="0"/>
        <w:rPr/>
      </w:pPr>
      <w:r>
        <w:rPr/>
        <w:t>Texaco Canada</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r>
    </w:p>
    <w:p>
      <w:pPr>
        <w:pStyle w:val="Normal"/>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-822960</wp:posOffset>
                </wp:positionH>
                <wp:positionV relativeFrom="paragraph">
                  <wp:posOffset>635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p>
      <w:pPr>
        <w:pStyle w:val="Normal"/>
        <w:tabs>
          <w:tab w:val="clear" w:pos="720"/>
          <w:tab w:val="left" w:pos="4860" w:leader="none"/>
          <w:tab w:val="right" w:pos="9270" w:leader="none"/>
        </w:tabs>
        <w:ind w:start="4320" w:end="0"/>
        <w:rPr/>
      </w:pPr>
      <w:r>
        <w:rPr/>
        <w:t>Texaco Natural Gas</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r>
        <w:br w:type="page"/>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t>AEC Storage &amp; Hub</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AEC Storage &amp; Hub Inc.</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t>Cook Inlet Energy Supply</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Coral Energy Resources, L.P.</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Enron North America Corporation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ICC Energy Corporation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r>
        <w:br w:type="page"/>
      </w:r>
    </w:p>
    <w:p>
      <w:pPr>
        <w:pStyle w:val="Normal"/>
        <w:rPr/>
      </w:pPr>
      <w:r>
        <w:rPr/>
      </w:r>
    </w:p>
    <w:p>
      <w:pPr>
        <w:pStyle w:val="Normal"/>
        <w:tabs>
          <w:tab w:val="clear" w:pos="720"/>
          <w:tab w:val="left" w:pos="4860" w:leader="none"/>
          <w:tab w:val="right" w:pos="9270" w:leader="none"/>
        </w:tabs>
        <w:ind w:start="4320" w:end="0"/>
        <w:rPr/>
      </w:pPr>
      <w:r>
        <w:rPr/>
        <w:t>Sempra Energy Trading Corporation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TXU Energy Trading Canada Limited</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TXU Energy Trading Company</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Western Gas Resources</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tabs>
          <w:tab w:val="clear" w:pos="720"/>
          <w:tab w:val="left" w:pos="4860" w:leader="none"/>
          <w:tab w:val="right" w:pos="9270" w:leader="none"/>
        </w:tabs>
        <w:ind w:start="4320" w:end="0"/>
        <w:rPr/>
      </w:pPr>
      <w:r>
        <w:rPr/>
        <w:t>Wild Goose Storage Inc.</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Williams Energy Marketing &amp; Trading</w:t>
      </w:r>
    </w:p>
    <w:p>
      <w:pPr>
        <w:pStyle w:val="Normal"/>
        <w:tabs>
          <w:tab w:val="clear" w:pos="720"/>
          <w:tab w:val="left" w:pos="4860" w:leader="none"/>
          <w:tab w:val="right" w:pos="9270" w:leader="none"/>
        </w:tabs>
        <w:ind w:start="4320" w:end="0"/>
        <w:rPr/>
      </w:pPr>
      <w:r>
        <w:rPr/>
        <w:t>Company (US)</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r>
        <w:br w:type="page"/>
      </w:r>
    </w:p>
    <w:p>
      <w:pPr>
        <w:pStyle w:val="Normal"/>
        <w:rPr/>
      </w:pPr>
      <w:r>
        <w:rPr/>
      </w:r>
    </w:p>
    <w:p>
      <w:pPr>
        <w:pStyle w:val="Normal"/>
        <w:tabs>
          <w:tab w:val="clear" w:pos="720"/>
          <w:tab w:val="left" w:pos="4860" w:leader="none"/>
          <w:tab w:val="right" w:pos="9270" w:leader="none"/>
        </w:tabs>
        <w:ind w:start="4320" w:end="0"/>
        <w:rPr/>
      </w:pPr>
      <w:r>
        <w:rPr/>
        <w:t>Williams Energy Marketing &amp; Trading</w:t>
      </w:r>
    </w:p>
    <w:p>
      <w:pPr>
        <w:pStyle w:val="Normal"/>
        <w:tabs>
          <w:tab w:val="clear" w:pos="720"/>
          <w:tab w:val="left" w:pos="4860" w:leader="none"/>
          <w:tab w:val="right" w:pos="9270" w:leader="none"/>
        </w:tabs>
        <w:ind w:start="4320" w:end="0"/>
        <w:rPr/>
      </w:pPr>
      <w:r>
        <w:rPr/>
        <w:t>Company (Canada)</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r>
        <w:br w:type="page"/>
      </w:r>
    </w:p>
    <w:p>
      <w:pPr>
        <w:pStyle w:val="Normal"/>
        <w:rPr/>
      </w:pPr>
      <w:r>
        <w:rPr/>
      </w:r>
    </w:p>
    <w:p>
      <w:pPr>
        <w:pStyle w:val="Normal"/>
        <w:suppressAutoHyphens w:val="true"/>
        <w:spacing w:before="0" w:after="480"/>
        <w:ind w:start="4320" w:end="0"/>
        <w:rPr>
          <w:b/>
        </w:rPr>
      </w:pPr>
      <w:r>
        <w:rPr>
          <w:b/>
        </w:rPr>
        <w:t>SCHEDULE I</w:t>
      </w:r>
    </w:p>
    <w:p>
      <w:pPr>
        <w:pStyle w:val="Normal"/>
        <w:jc w:val="center"/>
        <w:rPr>
          <w:b/>
        </w:rPr>
      </w:pPr>
      <w:r>
        <w:rPr>
          <w:b/>
        </w:rPr>
        <w:t>SUPPLIERS AND ADDRESSES FOR NOTICES</w:t>
      </w:r>
    </w:p>
    <w:p>
      <w:pPr>
        <w:pStyle w:val="Normal"/>
        <w:jc w:val="center"/>
        <w:rPr>
          <w:b/>
        </w:rPr>
      </w:pPr>
      <w:r>
        <w:rPr>
          <w:b/>
        </w:rPr>
      </w:r>
    </w:p>
    <w:p>
      <w:pPr>
        <w:pStyle w:val="Normal"/>
        <w:rPr>
          <w:b/>
        </w:rPr>
      </w:pPr>
      <w:r>
        <w:rPr>
          <w:b/>
        </w:rPr>
      </w:r>
    </w:p>
    <w:p>
      <w:pPr>
        <w:pStyle w:val="Normal"/>
        <w:rPr/>
      </w:pPr>
      <w:r>
        <w:rPr/>
      </w:r>
    </w:p>
    <w:p>
      <w:pPr>
        <w:pStyle w:val="Normal"/>
        <w:rPr>
          <w:b/>
        </w:rPr>
      </w:pPr>
      <w:r>
        <w:rPr>
          <w:b/>
        </w:rPr>
        <w:t>AEC Storage &amp; Hub</w:t>
      </w:r>
    </w:p>
    <w:p>
      <w:pPr>
        <w:pStyle w:val="Normal"/>
        <w:rPr/>
      </w:pPr>
      <w:r>
        <w:rPr/>
        <w:t>Supply Agreement No. 5861</w:t>
      </w:r>
    </w:p>
    <w:p>
      <w:pPr>
        <w:pStyle w:val="Normal"/>
        <w:rPr/>
      </w:pPr>
      <w:r>
        <w:rPr/>
        <w:t>Address for Notices:</w:t>
        <w:tab/>
        <w:t>3900, 421-7th Avenue SW</w:t>
      </w:r>
    </w:p>
    <w:p>
      <w:pPr>
        <w:pStyle w:val="Normal"/>
        <w:rPr/>
      </w:pPr>
      <w:r>
        <w:rPr/>
        <w:tab/>
        <w:tab/>
        <w:tab/>
        <w:t>Calgary, Alberta</w:t>
      </w:r>
    </w:p>
    <w:p>
      <w:pPr>
        <w:pStyle w:val="Normal"/>
        <w:rPr/>
      </w:pPr>
      <w:r>
        <w:rPr/>
        <w:tab/>
        <w:tab/>
        <w:tab/>
        <w:t>Canada T2P 4K9</w:t>
      </w:r>
    </w:p>
    <w:p>
      <w:pPr>
        <w:pStyle w:val="Normal"/>
        <w:rPr/>
      </w:pPr>
      <w:r>
        <w:rPr/>
        <w:tab/>
        <w:tab/>
        <w:tab/>
        <w:t>Attn:  Ryan McGeachie</w:t>
      </w:r>
    </w:p>
    <w:p>
      <w:pPr>
        <w:pStyle w:val="Normal"/>
        <w:rPr/>
      </w:pPr>
      <w:r>
        <w:rPr/>
        <w:tab/>
        <w:tab/>
        <w:tab/>
        <w:t>Facsimile:  713-868-6163</w:t>
      </w:r>
    </w:p>
    <w:p>
      <w:pPr>
        <w:pStyle w:val="Normal"/>
        <w:rPr/>
      </w:pPr>
      <w:r>
        <w:rPr/>
      </w:r>
    </w:p>
    <w:p>
      <w:pPr>
        <w:pStyle w:val="Normal"/>
        <w:rPr>
          <w:b/>
        </w:rPr>
      </w:pPr>
      <w:r>
        <w:rPr>
          <w:b/>
        </w:rPr>
        <w:t>AEC Storage &amp; Hub Inc.</w:t>
      </w:r>
    </w:p>
    <w:p>
      <w:pPr>
        <w:pStyle w:val="Normal"/>
        <w:rPr/>
      </w:pPr>
      <w:r>
        <w:rPr/>
        <w:t>Supply Agreement No. 5859</w:t>
      </w:r>
    </w:p>
    <w:p>
      <w:pPr>
        <w:pStyle w:val="Normal"/>
        <w:rPr/>
      </w:pPr>
      <w:r>
        <w:rPr/>
        <w:t>Address for Notices:</w:t>
        <w:tab/>
        <w:t>3900, 421-7th Avenue SW</w:t>
      </w:r>
    </w:p>
    <w:p>
      <w:pPr>
        <w:pStyle w:val="Normal"/>
        <w:rPr/>
      </w:pPr>
      <w:r>
        <w:rPr/>
        <w:tab/>
        <w:tab/>
        <w:tab/>
        <w:t>Calgary, Alberta</w:t>
      </w:r>
    </w:p>
    <w:p>
      <w:pPr>
        <w:pStyle w:val="Normal"/>
        <w:rPr/>
      </w:pPr>
      <w:r>
        <w:rPr/>
        <w:tab/>
        <w:tab/>
        <w:tab/>
        <w:t>Canada T2P 4K9</w:t>
      </w:r>
    </w:p>
    <w:p>
      <w:pPr>
        <w:pStyle w:val="Normal"/>
        <w:rPr/>
      </w:pPr>
      <w:r>
        <w:rPr/>
        <w:tab/>
        <w:tab/>
        <w:tab/>
        <w:t>Attn:  Ryan McGeachie</w:t>
      </w:r>
    </w:p>
    <w:p>
      <w:pPr>
        <w:pStyle w:val="Normal"/>
        <w:rPr/>
      </w:pPr>
      <w:r>
        <w:rPr/>
        <w:tab/>
        <w:tab/>
        <w:tab/>
        <w:t>Facsimile:  713-868-6163</w:t>
      </w:r>
    </w:p>
    <w:p>
      <w:pPr>
        <w:pStyle w:val="Normal"/>
        <w:rPr/>
      </w:pPr>
      <w:r>
        <w:rPr/>
      </w:r>
    </w:p>
    <w:p>
      <w:pPr>
        <w:pStyle w:val="Normal"/>
        <w:rPr>
          <w:b/>
        </w:rPr>
      </w:pPr>
      <w:r>
        <w:rPr>
          <w:b/>
        </w:rPr>
        <w:t>BP Canada Marketing Corporation</w:t>
      </w:r>
    </w:p>
    <w:p>
      <w:pPr>
        <w:pStyle w:val="Normal"/>
        <w:rPr/>
      </w:pPr>
      <w:r>
        <w:rPr/>
        <w:t>Supply Agreement No. 5830</w:t>
      </w:r>
    </w:p>
    <w:p>
      <w:pPr>
        <w:pStyle w:val="Normal"/>
        <w:rPr/>
      </w:pPr>
      <w:r>
        <w:rPr/>
        <w:t xml:space="preserve">Address for Notices:  </w:t>
        <w:tab/>
        <w:t>240 – 4th Avenue, S.W.</w:t>
      </w:r>
    </w:p>
    <w:p>
      <w:pPr>
        <w:pStyle w:val="Normal"/>
        <w:ind w:firstLine="720" w:start="1440" w:end="0"/>
        <w:rPr/>
      </w:pPr>
      <w:r>
        <w:rPr/>
        <w:t>23rd Floor</w:t>
      </w:r>
    </w:p>
    <w:p>
      <w:pPr>
        <w:pStyle w:val="Normal"/>
        <w:ind w:firstLine="720" w:start="1440" w:end="0"/>
        <w:rPr/>
      </w:pPr>
      <w:r>
        <w:rPr/>
        <w:t xml:space="preserve">Calgary, Alberta </w:t>
      </w:r>
    </w:p>
    <w:p>
      <w:pPr>
        <w:pStyle w:val="Normal"/>
        <w:ind w:firstLine="720" w:start="1440" w:end="0"/>
        <w:rPr/>
      </w:pPr>
      <w:r>
        <w:rPr/>
        <w:t>Canada T2P2H8</w:t>
      </w:r>
    </w:p>
    <w:p>
      <w:pPr>
        <w:pStyle w:val="Normal"/>
        <w:ind w:firstLine="720" w:start="1440" w:end="0"/>
        <w:rPr/>
      </w:pPr>
      <w:r>
        <w:rPr/>
        <w:t>Attn:  Ken McClanahan</w:t>
      </w:r>
    </w:p>
    <w:p>
      <w:pPr>
        <w:pStyle w:val="Normal"/>
        <w:ind w:firstLine="720" w:start="1440" w:end="0"/>
        <w:rPr/>
      </w:pPr>
      <w:r>
        <w:rPr/>
        <w:t>Facsimile:  281-366-4932</w:t>
      </w:r>
    </w:p>
    <w:p>
      <w:pPr>
        <w:pStyle w:val="Normal"/>
        <w:rPr/>
      </w:pPr>
      <w:r>
        <w:rPr/>
      </w:r>
    </w:p>
    <w:p>
      <w:pPr>
        <w:pStyle w:val="Normal"/>
        <w:rPr>
          <w:b/>
        </w:rPr>
      </w:pPr>
      <w:r>
        <w:rPr>
          <w:b/>
        </w:rPr>
        <w:t>BP Energy Company</w:t>
      </w:r>
    </w:p>
    <w:p>
      <w:pPr>
        <w:pStyle w:val="Normal"/>
        <w:rPr/>
      </w:pPr>
      <w:r>
        <w:rPr/>
        <w:t>Supply Agreement No. 5691</w:t>
      </w:r>
    </w:p>
    <w:p>
      <w:pPr>
        <w:pStyle w:val="Normal"/>
        <w:rPr/>
      </w:pPr>
      <w:r>
        <w:rPr/>
        <w:t>Address for Notices:</w:t>
        <w:tab/>
        <w:t>591 Westlake Park Boulevard</w:t>
      </w:r>
    </w:p>
    <w:p>
      <w:pPr>
        <w:pStyle w:val="Normal"/>
        <w:rPr/>
      </w:pPr>
      <w:r>
        <w:rPr/>
        <w:tab/>
        <w:tab/>
        <w:tab/>
        <w:t>Houston, Texas 77079</w:t>
      </w:r>
    </w:p>
    <w:p>
      <w:pPr>
        <w:pStyle w:val="Normal"/>
        <w:ind w:firstLine="720" w:start="1440" w:end="0"/>
        <w:rPr/>
      </w:pPr>
      <w:r>
        <w:rPr/>
        <w:t>Attn:  Ken McClanahan</w:t>
      </w:r>
    </w:p>
    <w:p>
      <w:pPr>
        <w:pStyle w:val="Normal"/>
        <w:ind w:firstLine="720" w:start="1440" w:end="0"/>
        <w:rPr/>
      </w:pPr>
      <w:r>
        <w:rPr/>
        <w:t>Facsimile:  281-366-4932</w:t>
      </w:r>
    </w:p>
    <w:p>
      <w:pPr>
        <w:pStyle w:val="Normal"/>
        <w:rPr/>
      </w:pPr>
      <w:r>
        <w:rPr/>
      </w:r>
    </w:p>
    <w:p>
      <w:pPr>
        <w:pStyle w:val="Normal"/>
        <w:rPr>
          <w:b/>
        </w:rPr>
      </w:pPr>
      <w:r>
        <w:rPr>
          <w:b/>
        </w:rPr>
        <w:t>Cook Inlet Energy Supply</w:t>
      </w:r>
    </w:p>
    <w:p>
      <w:pPr>
        <w:pStyle w:val="Normal"/>
        <w:rPr/>
      </w:pPr>
      <w:r>
        <w:rPr/>
        <w:t>Supply Agreement No. 5677</w:t>
      </w:r>
    </w:p>
    <w:p>
      <w:pPr>
        <w:pStyle w:val="Normal"/>
        <w:rPr/>
      </w:pPr>
      <w:r>
        <w:rPr/>
        <w:t>Address for Notices:</w:t>
        <w:tab/>
        <w:t>10100 Santa Monica Boulevard</w:t>
      </w:r>
    </w:p>
    <w:p>
      <w:pPr>
        <w:pStyle w:val="Normal"/>
        <w:rPr/>
      </w:pPr>
      <w:r>
        <w:rPr/>
        <w:tab/>
        <w:tab/>
        <w:tab/>
        <w:t>Suite 2550</w:t>
      </w:r>
    </w:p>
    <w:p>
      <w:pPr>
        <w:pStyle w:val="Normal"/>
        <w:rPr/>
      </w:pPr>
      <w:r>
        <w:rPr/>
        <w:tab/>
        <w:tab/>
        <w:tab/>
        <w:t>Los Angeles, California 90067</w:t>
      </w:r>
    </w:p>
    <w:p>
      <w:pPr>
        <w:pStyle w:val="Normal"/>
        <w:rPr/>
      </w:pPr>
      <w:r>
        <w:rPr/>
        <w:tab/>
        <w:tab/>
        <w:tab/>
        <w:t>Attn:  Hans Saeby</w:t>
      </w:r>
    </w:p>
    <w:p>
      <w:pPr>
        <w:pStyle w:val="Normal"/>
        <w:rPr/>
      </w:pPr>
      <w:r>
        <w:rPr/>
        <w:tab/>
        <w:tab/>
        <w:tab/>
        <w:t>Facsimile: 310-556-8441</w:t>
      </w:r>
      <w:r>
        <w:br w:type="page"/>
      </w:r>
    </w:p>
    <w:p>
      <w:pPr>
        <w:pStyle w:val="Normal"/>
        <w:rPr>
          <w:b/>
        </w:rPr>
      </w:pPr>
      <w:r>
        <w:rPr>
          <w:b/>
        </w:rPr>
        <w:t>Coral Energy Resources, L.P.</w:t>
      </w:r>
    </w:p>
    <w:p>
      <w:pPr>
        <w:pStyle w:val="Normal"/>
        <w:rPr/>
      </w:pPr>
      <w:r>
        <w:rPr/>
        <w:t>Supply Agreement No. 5817</w:t>
      </w:r>
    </w:p>
    <w:p>
      <w:pPr>
        <w:pStyle w:val="Normal"/>
        <w:rPr/>
      </w:pPr>
      <w:r>
        <w:rPr/>
        <w:t>Address for Notices:</w:t>
        <w:tab/>
        <w:t>909 Fannin, Suite 700</w:t>
      </w:r>
    </w:p>
    <w:p>
      <w:pPr>
        <w:pStyle w:val="Normal"/>
        <w:rPr/>
      </w:pPr>
      <w:r>
        <w:rPr/>
        <w:tab/>
        <w:tab/>
        <w:tab/>
        <w:t>Dallas, Texas  75284-4408</w:t>
      </w:r>
    </w:p>
    <w:p>
      <w:pPr>
        <w:pStyle w:val="Normal"/>
        <w:rPr/>
      </w:pPr>
      <w:r>
        <w:rPr/>
        <w:tab/>
        <w:tab/>
        <w:tab/>
        <w:t>Attn:  Bob Long</w:t>
      </w:r>
    </w:p>
    <w:p>
      <w:pPr>
        <w:pStyle w:val="Normal"/>
        <w:rPr/>
      </w:pPr>
      <w:r>
        <w:rPr/>
        <w:tab/>
        <w:tab/>
        <w:tab/>
        <w:t>Facsimile:  713-767-5455</w:t>
      </w:r>
    </w:p>
    <w:p>
      <w:pPr>
        <w:pStyle w:val="Normal"/>
        <w:rPr/>
      </w:pPr>
      <w:r>
        <w:rPr/>
      </w:r>
    </w:p>
    <w:p>
      <w:pPr>
        <w:pStyle w:val="Normal"/>
        <w:rPr>
          <w:b/>
        </w:rPr>
      </w:pPr>
      <w:r>
        <w:rPr>
          <w:b/>
        </w:rPr>
        <w:t>Dynegy Canada Marketing &amp; Trade, A Division of DCI</w:t>
      </w:r>
    </w:p>
    <w:p>
      <w:pPr>
        <w:pStyle w:val="Normal"/>
        <w:rPr/>
      </w:pPr>
      <w:r>
        <w:rPr/>
        <w:t>Supply Agreement No. 5731</w:t>
      </w:r>
    </w:p>
    <w:p>
      <w:pPr>
        <w:pStyle w:val="Normal"/>
        <w:rPr/>
      </w:pPr>
      <w:r>
        <w:rPr/>
        <w:t>Address for Notices:</w:t>
        <w:tab/>
        <w:t>350 – 7th Avenue S.W.</w:t>
      </w:r>
    </w:p>
    <w:p>
      <w:pPr>
        <w:pStyle w:val="Normal"/>
        <w:rPr/>
      </w:pPr>
      <w:r>
        <w:rPr/>
        <w:tab/>
        <w:tab/>
        <w:tab/>
        <w:t>Suite 2200</w:t>
      </w:r>
    </w:p>
    <w:p>
      <w:pPr>
        <w:pStyle w:val="Normal"/>
        <w:rPr/>
      </w:pPr>
      <w:r>
        <w:rPr/>
        <w:tab/>
        <w:tab/>
        <w:tab/>
        <w:t>Calgary, Alberta</w:t>
      </w:r>
    </w:p>
    <w:p>
      <w:pPr>
        <w:pStyle w:val="Normal"/>
        <w:rPr/>
      </w:pPr>
      <w:r>
        <w:rPr/>
        <w:tab/>
        <w:tab/>
        <w:tab/>
        <w:t>Canada T2P 3N9</w:t>
      </w:r>
    </w:p>
    <w:p>
      <w:pPr>
        <w:pStyle w:val="Normal"/>
        <w:ind w:firstLine="720" w:start="1440" w:end="0"/>
        <w:rPr/>
      </w:pPr>
      <w:r>
        <w:rPr/>
        <w:t>Attn:  Steve Barron</w:t>
      </w:r>
    </w:p>
    <w:p>
      <w:pPr>
        <w:pStyle w:val="Normal"/>
        <w:ind w:firstLine="720" w:start="1440" w:end="0"/>
        <w:rPr/>
      </w:pPr>
      <w:r>
        <w:rPr/>
        <w:t>Facsimile:  713-507-6541</w:t>
      </w:r>
    </w:p>
    <w:p>
      <w:pPr>
        <w:pStyle w:val="Normal"/>
        <w:rPr>
          <w:b/>
        </w:rPr>
      </w:pPr>
      <w:r>
        <w:rPr>
          <w:b/>
        </w:rPr>
      </w:r>
    </w:p>
    <w:p>
      <w:pPr>
        <w:pStyle w:val="Normal"/>
        <w:rPr>
          <w:b/>
        </w:rPr>
      </w:pPr>
      <w:r>
        <w:rPr>
          <w:b/>
        </w:rPr>
        <w:t>Dynegy Marketing &amp; Trade</w:t>
      </w:r>
    </w:p>
    <w:p>
      <w:pPr>
        <w:pStyle w:val="Normal"/>
        <w:rPr/>
      </w:pPr>
      <w:r>
        <w:rPr/>
        <w:t>Supply Agreement No. 5687</w:t>
      </w:r>
    </w:p>
    <w:p>
      <w:pPr>
        <w:pStyle w:val="Normal"/>
        <w:rPr/>
      </w:pPr>
      <w:r>
        <w:rPr/>
        <w:t>Address for Notices:</w:t>
        <w:tab/>
        <w:t>1100 Louisiana Street, Suite 5800</w:t>
      </w:r>
    </w:p>
    <w:p>
      <w:pPr>
        <w:pStyle w:val="Normal"/>
        <w:rPr/>
      </w:pPr>
      <w:r>
        <w:rPr/>
        <w:tab/>
        <w:tab/>
        <w:tab/>
        <w:t>Houston, Texas 77002</w:t>
      </w:r>
    </w:p>
    <w:p>
      <w:pPr>
        <w:pStyle w:val="Normal"/>
        <w:ind w:firstLine="720" w:start="1440" w:end="0"/>
        <w:rPr/>
      </w:pPr>
      <w:r>
        <w:rPr/>
        <w:t>Attn:  Steve Barron</w:t>
      </w:r>
    </w:p>
    <w:p>
      <w:pPr>
        <w:pStyle w:val="Normal"/>
        <w:ind w:firstLine="720" w:start="1440" w:end="0"/>
        <w:rPr/>
      </w:pPr>
      <w:r>
        <w:rPr/>
        <w:t>Facsimile:  713-507-6541</w:t>
      </w:r>
    </w:p>
    <w:p>
      <w:pPr>
        <w:pStyle w:val="Normal"/>
        <w:rPr>
          <w:b/>
        </w:rPr>
      </w:pPr>
      <w:r>
        <w:rPr>
          <w:b/>
        </w:rPr>
      </w:r>
    </w:p>
    <w:p>
      <w:pPr>
        <w:pStyle w:val="Normal"/>
        <w:rPr>
          <w:b/>
        </w:rPr>
      </w:pPr>
      <w:r>
        <w:rPr>
          <w:b/>
        </w:rPr>
        <w:t>El Paso Merchant Energy, L.P.</w:t>
      </w:r>
    </w:p>
    <w:p>
      <w:pPr>
        <w:pStyle w:val="Normal"/>
        <w:rPr/>
      </w:pPr>
      <w:r>
        <w:rPr/>
        <w:t>Supply Agreement No. 5675</w:t>
      </w:r>
    </w:p>
    <w:p>
      <w:pPr>
        <w:pStyle w:val="Normal"/>
        <w:rPr/>
      </w:pPr>
      <w:r>
        <w:rPr/>
        <w:t>Address for Notices:</w:t>
        <w:tab/>
        <w:t>1001 Louisiana Street, 25th Floor</w:t>
      </w:r>
    </w:p>
    <w:p>
      <w:pPr>
        <w:pStyle w:val="Normal"/>
        <w:rPr/>
      </w:pPr>
      <w:r>
        <w:rPr/>
        <w:tab/>
        <w:tab/>
        <w:tab/>
        <w:t>Houston, Texas 77002</w:t>
      </w:r>
    </w:p>
    <w:p>
      <w:pPr>
        <w:pStyle w:val="Normal"/>
        <w:ind w:firstLine="720" w:start="1440" w:end="0"/>
        <w:rPr/>
      </w:pPr>
      <w:r>
        <w:rPr/>
        <w:t>Attn:  John Harrison, Vice President and CFO</w:t>
      </w:r>
    </w:p>
    <w:p>
      <w:pPr>
        <w:pStyle w:val="Normal"/>
        <w:ind w:firstLine="720" w:start="1440" w:end="0"/>
        <w:rPr/>
      </w:pPr>
      <w:r>
        <w:rPr/>
        <w:t>Facsimile:  713-420-3942</w:t>
      </w:r>
    </w:p>
    <w:p>
      <w:pPr>
        <w:pStyle w:val="Normal"/>
        <w:ind w:firstLine="720" w:start="1440" w:end="0"/>
        <w:rPr/>
      </w:pPr>
      <w:r>
        <w:rPr/>
      </w:r>
    </w:p>
    <w:p>
      <w:pPr>
        <w:pStyle w:val="Normal"/>
        <w:rPr>
          <w:b/>
        </w:rPr>
      </w:pPr>
      <w:r>
        <w:rPr>
          <w:b/>
        </w:rPr>
        <w:t>Enron North America Corporation</w:t>
      </w:r>
    </w:p>
    <w:p>
      <w:pPr>
        <w:pStyle w:val="Normal"/>
        <w:rPr/>
      </w:pPr>
      <w:r>
        <w:rPr/>
        <w:t>Supply Agreement No. 5762</w:t>
      </w:r>
    </w:p>
    <w:p>
      <w:pPr>
        <w:pStyle w:val="Normal"/>
        <w:rPr/>
      </w:pPr>
      <w:r>
        <w:rPr/>
        <w:t>Address for Notices:</w:t>
        <w:tab/>
        <w:t>1400 Smith Street</w:t>
      </w:r>
    </w:p>
    <w:p>
      <w:pPr>
        <w:pStyle w:val="Normal"/>
        <w:rPr/>
      </w:pPr>
      <w:r>
        <w:rPr/>
        <w:tab/>
        <w:tab/>
        <w:tab/>
        <w:t>Houston, Texas 77002</w:t>
      </w:r>
    </w:p>
    <w:p>
      <w:pPr>
        <w:pStyle w:val="Normal"/>
        <w:rPr/>
      </w:pPr>
      <w:r>
        <w:rPr/>
        <w:tab/>
        <w:tab/>
        <w:tab/>
        <w:t>Attn:  William Bradford</w:t>
      </w:r>
    </w:p>
    <w:p>
      <w:pPr>
        <w:pStyle w:val="Normal"/>
        <w:rPr/>
      </w:pPr>
      <w:r>
        <w:rPr/>
        <w:tab/>
        <w:tab/>
        <w:tab/>
        <w:t>Facsimile: 713-853-9476</w:t>
      </w:r>
    </w:p>
    <w:p>
      <w:pPr>
        <w:pStyle w:val="Normal"/>
        <w:rPr/>
      </w:pPr>
      <w:r>
        <w:rPr/>
      </w:r>
    </w:p>
    <w:p>
      <w:pPr>
        <w:pStyle w:val="Normal"/>
        <w:rPr>
          <w:b/>
        </w:rPr>
      </w:pPr>
      <w:r>
        <w:rPr>
          <w:b/>
        </w:rPr>
        <w:t>ICC Energy Corporation</w:t>
      </w:r>
    </w:p>
    <w:p>
      <w:pPr>
        <w:pStyle w:val="Normal"/>
        <w:rPr/>
      </w:pPr>
      <w:r>
        <w:rPr/>
        <w:t>Supply Agreement No. 5784</w:t>
      </w:r>
    </w:p>
    <w:p>
      <w:pPr>
        <w:pStyle w:val="Normal"/>
        <w:rPr/>
      </w:pPr>
      <w:r>
        <w:rPr/>
        <w:t>Address for Notices:</w:t>
        <w:tab/>
        <w:t>302 N. Market Street, Suite 500</w:t>
      </w:r>
    </w:p>
    <w:p>
      <w:pPr>
        <w:pStyle w:val="Normal"/>
        <w:rPr/>
      </w:pPr>
      <w:r>
        <w:rPr/>
        <w:tab/>
        <w:tab/>
        <w:tab/>
        <w:t>Dallas, Texas 75202-1286</w:t>
      </w:r>
    </w:p>
    <w:p>
      <w:pPr>
        <w:pStyle w:val="Normal"/>
        <w:rPr/>
      </w:pPr>
      <w:r>
        <w:rPr/>
        <w:tab/>
        <w:tab/>
        <w:tab/>
        <w:t>Attn:  Karl Butler</w:t>
      </w:r>
    </w:p>
    <w:p>
      <w:pPr>
        <w:pStyle w:val="Normal"/>
        <w:rPr/>
      </w:pPr>
      <w:r>
        <w:rPr/>
        <w:tab/>
        <w:tab/>
        <w:tab/>
        <w:t>Facsimile: 215-744-2206</w:t>
      </w:r>
      <w:r>
        <w:br w:type="page"/>
      </w:r>
    </w:p>
    <w:p>
      <w:pPr>
        <w:pStyle w:val="Normal"/>
        <w:rPr>
          <w:b/>
        </w:rPr>
      </w:pPr>
      <w:r>
        <w:rPr>
          <w:b/>
        </w:rPr>
        <w:t>Sempra Energy Trading Corporation</w:t>
      </w:r>
    </w:p>
    <w:p>
      <w:pPr>
        <w:pStyle w:val="Normal"/>
        <w:rPr/>
      </w:pPr>
      <w:r>
        <w:rPr/>
        <w:t>Supply Agreement No. 5752</w:t>
      </w:r>
    </w:p>
    <w:p>
      <w:pPr>
        <w:pStyle w:val="Normal"/>
        <w:rPr/>
      </w:pPr>
      <w:r>
        <w:rPr/>
        <w:t>Address for Notices:</w:t>
        <w:tab/>
        <w:t>58 Commerce Road</w:t>
      </w:r>
    </w:p>
    <w:p>
      <w:pPr>
        <w:pStyle w:val="Normal"/>
        <w:rPr/>
      </w:pPr>
      <w:r>
        <w:rPr/>
        <w:tab/>
        <w:tab/>
        <w:tab/>
        <w:t>Stamford, Connecticut 06902</w:t>
      </w:r>
    </w:p>
    <w:p>
      <w:pPr>
        <w:pStyle w:val="Normal"/>
        <w:rPr/>
      </w:pPr>
      <w:r>
        <w:rPr/>
        <w:tab/>
        <w:tab/>
        <w:tab/>
        <w:t>Attn:  Michael Sessa</w:t>
      </w:r>
    </w:p>
    <w:p>
      <w:pPr>
        <w:pStyle w:val="Normal"/>
        <w:rPr/>
      </w:pPr>
      <w:r>
        <w:rPr/>
        <w:tab/>
        <w:tab/>
        <w:tab/>
        <w:t xml:space="preserve">Facsimile:  </w:t>
      </w:r>
    </w:p>
    <w:p>
      <w:pPr>
        <w:pStyle w:val="Normal"/>
        <w:rPr/>
      </w:pPr>
      <w:r>
        <w:rPr/>
      </w:r>
    </w:p>
    <w:p>
      <w:pPr>
        <w:pStyle w:val="Normal"/>
        <w:rPr>
          <w:b/>
        </w:rPr>
      </w:pPr>
      <w:r>
        <w:rPr>
          <w:b/>
        </w:rPr>
        <w:t>Texaco Canada</w:t>
      </w:r>
    </w:p>
    <w:p>
      <w:pPr>
        <w:pStyle w:val="Normal"/>
        <w:rPr/>
      </w:pPr>
      <w:r>
        <w:rPr/>
        <w:t>Supply Agreement No. 5887</w:t>
      </w:r>
    </w:p>
    <w:p>
      <w:pPr>
        <w:pStyle w:val="Normal"/>
        <w:rPr/>
      </w:pPr>
      <w:r>
        <w:rPr/>
        <w:t>Address for Notices:</w:t>
        <w:tab/>
        <w:t>2035 400 3rd Avenue, S.W.</w:t>
      </w:r>
    </w:p>
    <w:p>
      <w:pPr>
        <w:pStyle w:val="Normal"/>
        <w:rPr/>
      </w:pPr>
      <w:r>
        <w:rPr/>
        <w:tab/>
        <w:tab/>
        <w:tab/>
        <w:t>Calgary, Alberta</w:t>
      </w:r>
    </w:p>
    <w:p>
      <w:pPr>
        <w:pStyle w:val="Normal"/>
        <w:rPr/>
      </w:pPr>
      <w:r>
        <w:rPr/>
        <w:tab/>
        <w:tab/>
        <w:tab/>
        <w:t>Canada T2P 4H2</w:t>
      </w:r>
    </w:p>
    <w:p>
      <w:pPr>
        <w:pStyle w:val="Normal"/>
        <w:ind w:firstLine="720" w:start="1440" w:end="0"/>
        <w:rPr/>
      </w:pPr>
      <w:r>
        <w:rPr/>
        <w:t>Attn:  Bill Collier</w:t>
      </w:r>
    </w:p>
    <w:p>
      <w:pPr>
        <w:pStyle w:val="Normal"/>
        <w:ind w:firstLine="720" w:start="1440" w:end="0"/>
        <w:rPr/>
      </w:pPr>
      <w:r>
        <w:rPr/>
        <w:t>Facsimile:  713-752-7841</w:t>
      </w:r>
    </w:p>
    <w:p>
      <w:pPr>
        <w:pStyle w:val="Normal"/>
        <w:ind w:firstLine="720" w:start="1440" w:end="0"/>
        <w:rPr/>
      </w:pPr>
      <w:r>
        <w:rPr/>
      </w:r>
    </w:p>
    <w:p>
      <w:pPr>
        <w:pStyle w:val="Normal"/>
        <w:rPr>
          <w:b/>
        </w:rPr>
      </w:pPr>
      <w:r>
        <w:rPr>
          <w:b/>
        </w:rPr>
        <w:t>Texaco Natural Gas</w:t>
      </w:r>
    </w:p>
    <w:p>
      <w:pPr>
        <w:pStyle w:val="Normal"/>
        <w:rPr/>
      </w:pPr>
      <w:r>
        <w:rPr/>
        <w:t>Supply Agreement No. 5776</w:t>
      </w:r>
    </w:p>
    <w:p>
      <w:pPr>
        <w:pStyle w:val="Normal"/>
        <w:rPr/>
      </w:pPr>
      <w:r>
        <w:rPr/>
        <w:t>Address for Notices:</w:t>
        <w:tab/>
        <w:t>1111 Bagby Street</w:t>
      </w:r>
    </w:p>
    <w:p>
      <w:pPr>
        <w:pStyle w:val="Normal"/>
        <w:rPr/>
      </w:pPr>
      <w:r>
        <w:rPr/>
        <w:tab/>
        <w:tab/>
        <w:tab/>
        <w:t>Houston, Texas 77002</w:t>
      </w:r>
    </w:p>
    <w:p>
      <w:pPr>
        <w:pStyle w:val="Normal"/>
        <w:ind w:firstLine="720" w:start="1440" w:end="0"/>
        <w:rPr/>
      </w:pPr>
      <w:r>
        <w:rPr/>
        <w:t>Attn:  Bill Collier</w:t>
      </w:r>
    </w:p>
    <w:p>
      <w:pPr>
        <w:pStyle w:val="Normal"/>
        <w:ind w:firstLine="720" w:start="1440" w:end="0"/>
        <w:rPr/>
      </w:pPr>
      <w:r>
        <w:rPr/>
        <w:t>Facsimile:  713-752-7841</w:t>
      </w:r>
    </w:p>
    <w:p>
      <w:pPr>
        <w:pStyle w:val="Normal"/>
        <w:rPr/>
      </w:pPr>
      <w:r>
        <w:rPr/>
      </w:r>
    </w:p>
    <w:p>
      <w:pPr>
        <w:pStyle w:val="Normal"/>
        <w:rPr>
          <w:b/>
        </w:rPr>
      </w:pPr>
      <w:r>
        <w:rPr>
          <w:b/>
        </w:rPr>
        <w:t>TXU Energy Trading Canada Limited</w:t>
      </w:r>
    </w:p>
    <w:p>
      <w:pPr>
        <w:pStyle w:val="Normal"/>
        <w:rPr/>
      </w:pPr>
      <w:r>
        <w:rPr/>
        <w:t>Supply Agreement No. 5852</w:t>
      </w:r>
    </w:p>
    <w:p>
      <w:pPr>
        <w:pStyle w:val="Normal"/>
        <w:rPr/>
      </w:pPr>
      <w:r>
        <w:rPr/>
        <w:t>Address for Notices:</w:t>
        <w:tab/>
        <w:t>1716 Main Street, Suite 2000</w:t>
      </w:r>
    </w:p>
    <w:p>
      <w:pPr>
        <w:pStyle w:val="Normal"/>
        <w:rPr/>
      </w:pPr>
      <w:r>
        <w:rPr/>
        <w:tab/>
        <w:tab/>
        <w:tab/>
        <w:t>Dallas, Texas 75200</w:t>
      </w:r>
    </w:p>
    <w:p>
      <w:pPr>
        <w:pStyle w:val="Normal"/>
        <w:rPr/>
      </w:pPr>
      <w:r>
        <w:rPr/>
        <w:tab/>
        <w:tab/>
        <w:tab/>
        <w:t>Attn:  Scott Campbell</w:t>
      </w:r>
    </w:p>
    <w:p>
      <w:pPr>
        <w:pStyle w:val="Normal"/>
        <w:rPr/>
      </w:pPr>
      <w:r>
        <w:rPr/>
        <w:tab/>
        <w:tab/>
        <w:tab/>
        <w:t xml:space="preserve">Facsimile:  </w:t>
      </w:r>
    </w:p>
    <w:p>
      <w:pPr>
        <w:pStyle w:val="Normal"/>
        <w:rPr/>
      </w:pPr>
      <w:r>
        <w:rPr/>
      </w:r>
    </w:p>
    <w:p>
      <w:pPr>
        <w:pStyle w:val="Normal"/>
        <w:rPr>
          <w:b/>
        </w:rPr>
      </w:pPr>
      <w:r>
        <w:rPr>
          <w:b/>
        </w:rPr>
        <w:t>TXU Energy Trading Company</w:t>
      </w:r>
    </w:p>
    <w:p>
      <w:pPr>
        <w:pStyle w:val="Normal"/>
        <w:rPr/>
      </w:pPr>
      <w:r>
        <w:rPr/>
        <w:t>Supply Agreement No. 5851</w:t>
      </w:r>
    </w:p>
    <w:p>
      <w:pPr>
        <w:pStyle w:val="Normal"/>
        <w:rPr/>
      </w:pPr>
      <w:r>
        <w:rPr/>
        <w:t>Address for Notices:</w:t>
        <w:tab/>
        <w:t>1717 Main Street, Suite 2000</w:t>
      </w:r>
    </w:p>
    <w:p>
      <w:pPr>
        <w:pStyle w:val="Normal"/>
        <w:rPr/>
      </w:pPr>
      <w:r>
        <w:rPr/>
        <w:tab/>
        <w:tab/>
        <w:tab/>
        <w:t>Dallas, Texas 75201</w:t>
      </w:r>
    </w:p>
    <w:p>
      <w:pPr>
        <w:pStyle w:val="Normal"/>
        <w:rPr/>
      </w:pPr>
      <w:r>
        <w:rPr/>
        <w:tab/>
        <w:tab/>
        <w:tab/>
        <w:t>Attn:  Jim Macredie</w:t>
      </w:r>
    </w:p>
    <w:p>
      <w:pPr>
        <w:pStyle w:val="Normal"/>
        <w:rPr/>
      </w:pPr>
      <w:r>
        <w:rPr/>
        <w:tab/>
        <w:tab/>
        <w:tab/>
        <w:t>Facsimile:  214-875-9066</w:t>
      </w:r>
    </w:p>
    <w:p>
      <w:pPr>
        <w:pStyle w:val="Normal"/>
        <w:rPr/>
      </w:pPr>
      <w:r>
        <w:rPr/>
      </w:r>
    </w:p>
    <w:p>
      <w:pPr>
        <w:pStyle w:val="Normal"/>
        <w:rPr>
          <w:b/>
        </w:rPr>
      </w:pPr>
      <w:r>
        <w:rPr>
          <w:b/>
        </w:rPr>
        <w:t>Western Gas Resources, Inc.</w:t>
      </w:r>
    </w:p>
    <w:p>
      <w:pPr>
        <w:pStyle w:val="Normal"/>
        <w:rPr/>
      </w:pPr>
      <w:r>
        <w:rPr/>
        <w:t>Supply Agreement No. 5689</w:t>
      </w:r>
    </w:p>
    <w:p>
      <w:pPr>
        <w:pStyle w:val="Normal"/>
        <w:rPr/>
      </w:pPr>
      <w:r>
        <w:rPr/>
        <w:t>Address for Notices:</w:t>
        <w:tab/>
        <w:t>12200 North Pecos Street</w:t>
      </w:r>
    </w:p>
    <w:p>
      <w:pPr>
        <w:pStyle w:val="Normal"/>
        <w:rPr/>
      </w:pPr>
      <w:r>
        <w:rPr/>
        <w:tab/>
        <w:tab/>
        <w:tab/>
        <w:t>Denver, Colorado 80234-3439</w:t>
      </w:r>
    </w:p>
    <w:p>
      <w:pPr>
        <w:pStyle w:val="Normal"/>
        <w:rPr/>
      </w:pPr>
      <w:r>
        <w:rPr/>
        <w:tab/>
        <w:tab/>
        <w:tab/>
        <w:t>Attn:</w:t>
        <w:tab/>
        <w:t>Brian Jeffries</w:t>
      </w:r>
    </w:p>
    <w:p>
      <w:pPr>
        <w:pStyle w:val="Normal"/>
        <w:rPr/>
      </w:pPr>
      <w:r>
        <w:rPr/>
        <w:tab/>
        <w:tab/>
        <w:tab/>
        <w:t>Facsimile:  303-457-9748</w:t>
      </w:r>
      <w:r>
        <w:br w:type="page"/>
      </w:r>
    </w:p>
    <w:p>
      <w:pPr>
        <w:pStyle w:val="Normal"/>
        <w:rPr>
          <w:b/>
        </w:rPr>
      </w:pPr>
      <w:r>
        <w:rPr>
          <w:b/>
        </w:rPr>
        <w:t>Wild Goose Storage Inc.</w:t>
      </w:r>
    </w:p>
    <w:p>
      <w:pPr>
        <w:pStyle w:val="Normal"/>
        <w:rPr/>
      </w:pPr>
      <w:r>
        <w:rPr/>
        <w:t>Supply Agreement No. 5875</w:t>
      </w:r>
    </w:p>
    <w:p>
      <w:pPr>
        <w:pStyle w:val="Normal"/>
        <w:rPr/>
      </w:pPr>
      <w:r>
        <w:rPr/>
        <w:t>Address for Notices:</w:t>
        <w:tab/>
        <w:t>3900, 421 – 7th Avenue, S.W.</w:t>
      </w:r>
    </w:p>
    <w:p>
      <w:pPr>
        <w:pStyle w:val="Normal"/>
        <w:rPr/>
      </w:pPr>
      <w:r>
        <w:rPr/>
        <w:tab/>
        <w:tab/>
        <w:tab/>
        <w:t>Calgary, Alberta</w:t>
      </w:r>
    </w:p>
    <w:p>
      <w:pPr>
        <w:pStyle w:val="Normal"/>
        <w:rPr/>
      </w:pPr>
      <w:r>
        <w:rPr/>
        <w:tab/>
        <w:tab/>
        <w:tab/>
        <w:t>Canada T2P 4K9</w:t>
      </w:r>
    </w:p>
    <w:p>
      <w:pPr>
        <w:pStyle w:val="Normal"/>
        <w:rPr/>
      </w:pPr>
      <w:r>
        <w:rPr/>
        <w:tab/>
        <w:tab/>
        <w:tab/>
        <w:t>Attn:  Ryan McGeachie</w:t>
      </w:r>
    </w:p>
    <w:p>
      <w:pPr>
        <w:pStyle w:val="Normal"/>
        <w:rPr/>
      </w:pPr>
      <w:r>
        <w:rPr/>
        <w:tab/>
        <w:tab/>
        <w:tab/>
        <w:t>Facsimile:  403-290-8530</w:t>
      </w:r>
    </w:p>
    <w:p>
      <w:pPr>
        <w:pStyle w:val="Normal"/>
        <w:rPr>
          <w:b/>
        </w:rPr>
      </w:pPr>
      <w:r>
        <w:rPr>
          <w:b/>
        </w:rPr>
      </w:r>
    </w:p>
    <w:p>
      <w:pPr>
        <w:pStyle w:val="Normal"/>
        <w:rPr>
          <w:b/>
        </w:rPr>
      </w:pPr>
      <w:r>
        <w:rPr>
          <w:b/>
        </w:rPr>
        <w:t>Williams Energy Marketing &amp; Trading Co. (US)</w:t>
      </w:r>
    </w:p>
    <w:p>
      <w:pPr>
        <w:pStyle w:val="Normal"/>
        <w:rPr/>
      </w:pPr>
      <w:r>
        <w:rPr/>
        <w:t>Supply Agreement No. 5791</w:t>
      </w:r>
    </w:p>
    <w:p>
      <w:pPr>
        <w:pStyle w:val="Normal"/>
        <w:rPr/>
      </w:pPr>
      <w:r>
        <w:rPr/>
        <w:t>Address for Notices:</w:t>
        <w:tab/>
        <w:t>One Williams Center, 19th Floor</w:t>
      </w:r>
    </w:p>
    <w:p>
      <w:pPr>
        <w:pStyle w:val="Normal"/>
        <w:rPr/>
      </w:pPr>
      <w:r>
        <w:rPr/>
        <w:tab/>
        <w:tab/>
        <w:tab/>
        <w:t>Department 558</w:t>
      </w:r>
    </w:p>
    <w:p>
      <w:pPr>
        <w:pStyle w:val="Normal"/>
        <w:rPr/>
      </w:pPr>
      <w:r>
        <w:rPr/>
        <w:tab/>
        <w:tab/>
        <w:tab/>
        <w:t>P.O. Box 2848</w:t>
      </w:r>
    </w:p>
    <w:p>
      <w:pPr>
        <w:pStyle w:val="Normal"/>
        <w:rPr/>
      </w:pPr>
      <w:r>
        <w:rPr/>
        <w:tab/>
        <w:tab/>
        <w:tab/>
        <w:t>Tulsa, Oklahoma 74172</w:t>
      </w:r>
    </w:p>
    <w:p>
      <w:pPr>
        <w:pStyle w:val="Normal"/>
        <w:rPr/>
      </w:pPr>
      <w:r>
        <w:rPr/>
        <w:tab/>
        <w:tab/>
        <w:tab/>
        <w:t>Attn:  Randy O’Neal</w:t>
      </w:r>
    </w:p>
    <w:p>
      <w:pPr>
        <w:pStyle w:val="Normal"/>
        <w:rPr/>
      </w:pPr>
      <w:r>
        <w:rPr/>
        <w:tab/>
        <w:tab/>
        <w:tab/>
        <w:t xml:space="preserve">Facsimile:  </w:t>
      </w:r>
    </w:p>
    <w:p>
      <w:pPr>
        <w:pStyle w:val="Normal"/>
        <w:rPr/>
      </w:pPr>
      <w:r>
        <w:rPr/>
      </w:r>
    </w:p>
    <w:p>
      <w:pPr>
        <w:pStyle w:val="Normal"/>
        <w:rPr>
          <w:b/>
        </w:rPr>
      </w:pPr>
      <w:r>
        <w:rPr>
          <w:b/>
        </w:rPr>
        <w:t>Williams Energy Marketing &amp; Trading Co. (Canada)</w:t>
      </w:r>
    </w:p>
    <w:p>
      <w:pPr>
        <w:pStyle w:val="Normal"/>
        <w:rPr/>
      </w:pPr>
      <w:r>
        <w:rPr/>
        <w:t>Supply Agreement No. 5865</w:t>
      </w:r>
    </w:p>
    <w:p>
      <w:pPr>
        <w:pStyle w:val="Normal"/>
        <w:rPr/>
      </w:pPr>
      <w:r>
        <w:rPr/>
        <w:t>Address for Notices:</w:t>
        <w:tab/>
        <w:t>One Williams Center, 19th Floor</w:t>
      </w:r>
    </w:p>
    <w:p>
      <w:pPr>
        <w:pStyle w:val="Normal"/>
        <w:rPr/>
      </w:pPr>
      <w:r>
        <w:rPr/>
        <w:tab/>
        <w:tab/>
        <w:tab/>
        <w:t>Department 558</w:t>
      </w:r>
    </w:p>
    <w:p>
      <w:pPr>
        <w:pStyle w:val="Normal"/>
        <w:rPr/>
      </w:pPr>
      <w:r>
        <w:rPr/>
        <w:tab/>
        <w:tab/>
        <w:tab/>
        <w:t>P.O. Box 2848</w:t>
      </w:r>
    </w:p>
    <w:p>
      <w:pPr>
        <w:pStyle w:val="Normal"/>
        <w:rPr/>
      </w:pPr>
      <w:r>
        <w:rPr/>
        <w:tab/>
        <w:tab/>
        <w:tab/>
        <w:t>Tulsa, Oklahoma 74101</w:t>
      </w:r>
    </w:p>
    <w:p>
      <w:pPr>
        <w:pStyle w:val="Normal"/>
        <w:rPr/>
      </w:pPr>
      <w:r>
        <w:rPr/>
        <w:tab/>
        <w:tab/>
        <w:tab/>
        <w:t>Attn:  Randy O’Neal</w:t>
      </w:r>
    </w:p>
    <w:p>
      <w:pPr>
        <w:pStyle w:val="Normal"/>
        <w:rPr/>
      </w:pPr>
      <w:r>
        <w:rPr/>
        <w:tab/>
        <w:tab/>
        <w:tab/>
        <w:t>Facsimile:</w:t>
      </w:r>
    </w:p>
    <w:p>
      <w:pPr>
        <w:pStyle w:val="Normal"/>
        <w:rPr>
          <w:b/>
        </w:rPr>
      </w:pPr>
      <w:r>
        <w:rPr>
          <w:b/>
        </w:rPr>
      </w:r>
    </w:p>
    <w:p>
      <w:pPr>
        <w:pStyle w:val="Normal"/>
        <w:rPr>
          <w:b/>
        </w:rPr>
      </w:pPr>
      <w:r>
        <w:rPr>
          <w:b/>
        </w:rPr>
      </w:r>
    </w:p>
    <w:p>
      <w:pPr>
        <w:pStyle w:val="Normal"/>
        <w:jc w:val="center"/>
        <w:rPr>
          <w:b/>
        </w:rPr>
      </w:pPr>
      <w:r>
        <w:rPr>
          <w:b/>
        </w:rPr>
      </w:r>
      <w:r>
        <w:br w:type="page"/>
      </w:r>
    </w:p>
    <w:p>
      <w:pPr>
        <w:pStyle w:val="Normal"/>
        <w:jc w:val="center"/>
        <w:rPr>
          <w:b/>
        </w:rPr>
      </w:pPr>
      <w:r>
        <w:rPr>
          <w:b/>
        </w:rPr>
        <w:t>EXHIBIT A</w:t>
      </w:r>
    </w:p>
    <w:p>
      <w:pPr>
        <w:pStyle w:val="Normal"/>
        <w:jc w:val="center"/>
        <w:rPr>
          <w:b/>
        </w:rPr>
      </w:pPr>
      <w:r>
        <w:rPr>
          <w:b/>
        </w:rPr>
      </w:r>
    </w:p>
    <w:p>
      <w:pPr>
        <w:pStyle w:val="Normal"/>
        <w:jc w:val="center"/>
        <w:rPr>
          <w:b/>
        </w:rPr>
      </w:pPr>
      <w:r>
        <w:rPr>
          <w:b/>
        </w:rPr>
        <w:t>SUPPLIER REPORT</w:t>
      </w:r>
    </w:p>
    <w:p>
      <w:pPr>
        <w:pStyle w:val="Normal"/>
        <w:jc w:val="center"/>
        <w:rPr>
          <w:b/>
        </w:rPr>
      </w:pPr>
      <w:r>
        <w:rPr>
          <w:b/>
        </w:rPr>
      </w:r>
    </w:p>
    <w:p>
      <w:pPr>
        <w:pStyle w:val="Normal"/>
        <w:rPr>
          <w:b/>
        </w:rPr>
      </w:pPr>
      <w:r>
        <w:rPr>
          <w:b/>
        </w:rPr>
      </w:r>
    </w:p>
    <w:p>
      <w:pPr>
        <w:pStyle w:val="Normal"/>
        <w:rPr/>
      </w:pPr>
      <w:r>
        <w:rPr/>
        <w:t>[date]</w:t>
      </w:r>
    </w:p>
    <w:p>
      <w:pPr>
        <w:pStyle w:val="Normal"/>
        <w:rPr/>
      </w:pPr>
      <w:r>
        <w:rPr/>
      </w:r>
    </w:p>
    <w:p>
      <w:pPr>
        <w:pStyle w:val="Normal"/>
        <w:rPr/>
      </w:pPr>
      <w:r>
        <w:rPr/>
        <w:t>VIA FACSIMILE (415-392-0876)</w:t>
      </w:r>
    </w:p>
    <w:p>
      <w:pPr>
        <w:pStyle w:val="Normal"/>
        <w:rPr/>
      </w:pPr>
      <w:r>
        <w:rPr/>
      </w:r>
    </w:p>
    <w:p>
      <w:pPr>
        <w:pStyle w:val="Normal"/>
        <w:rPr/>
      </w:pPr>
      <w:r>
        <w:rPr/>
        <w:t>U.S. Trust Company, National Association</w:t>
      </w:r>
    </w:p>
    <w:p>
      <w:pPr>
        <w:pStyle w:val="Normal"/>
        <w:rPr/>
      </w:pPr>
      <w:r>
        <w:rPr/>
        <w:t>Attn:  Corporate Trust Department</w:t>
      </w:r>
    </w:p>
    <w:p>
      <w:pPr>
        <w:pStyle w:val="Normal"/>
        <w:rPr/>
      </w:pPr>
      <w:r>
        <w:rPr/>
        <w:t>One Embarcadero Center, Suite 2050</w:t>
      </w:r>
    </w:p>
    <w:p>
      <w:pPr>
        <w:pStyle w:val="Normal"/>
        <w:rPr/>
      </w:pPr>
      <w:r>
        <w:rPr/>
        <w:t>San Francisco, CA  94111</w:t>
      </w:r>
    </w:p>
    <w:p>
      <w:pPr>
        <w:pStyle w:val="Normal"/>
        <w:rPr/>
      </w:pPr>
      <w:r>
        <w:rPr/>
      </w:r>
    </w:p>
    <w:p>
      <w:pPr>
        <w:pStyle w:val="Normal"/>
        <w:rPr/>
      </w:pPr>
      <w:r>
        <w:rPr/>
        <w:tab/>
        <w:t>Re:</w:t>
        <w:tab/>
      </w:r>
      <w:r>
        <w:rPr>
          <w:u w:val="single"/>
        </w:rPr>
        <w:t>Gas Supplier Intercreditor and Collateral Agency Agreement</w:t>
      </w:r>
    </w:p>
    <w:p>
      <w:pPr>
        <w:pStyle w:val="Normal"/>
        <w:rPr>
          <w:u w:val="single"/>
        </w:rPr>
      </w:pPr>
      <w:r>
        <w:rPr>
          <w:u w:val="single"/>
        </w:rPr>
      </w:r>
    </w:p>
    <w:p>
      <w:pPr>
        <w:pStyle w:val="Normal"/>
        <w:rPr/>
      </w:pPr>
      <w:r>
        <w:rPr/>
        <w:t>Ladies and Gentlemen:</w:t>
      </w:r>
    </w:p>
    <w:p>
      <w:pPr>
        <w:pStyle w:val="Normal"/>
        <w:rPr/>
      </w:pPr>
      <w:r>
        <w:rPr/>
      </w:r>
    </w:p>
    <w:p>
      <w:pPr>
        <w:pStyle w:val="Normal"/>
        <w:rPr/>
      </w:pPr>
      <w:r>
        <w:rPr/>
        <w:tab/>
        <w:t>Reference is made to that certain Intercreditor and Collateral Agency Agreement dated February [__], 2001 (the “Intercreditor Agreement”) by and among U.S. Trust Company, National Association, and the gas suppliers named therein.</w:t>
      </w:r>
    </w:p>
    <w:p>
      <w:pPr>
        <w:pStyle w:val="Normal"/>
        <w:rPr/>
      </w:pPr>
      <w:r>
        <w:rPr/>
      </w:r>
    </w:p>
    <w:p>
      <w:pPr>
        <w:pStyle w:val="Normal"/>
        <w:rPr/>
      </w:pPr>
      <w:r>
        <w:rPr/>
        <w:tab/>
        <w:t>I hereby certify that the Amount Owed (as defined in the Intercreditor Agreement) to [name of Supplier] as of the close of business on [fill in date of preceding Friday] is $______.</w:t>
      </w:r>
    </w:p>
    <w:p>
      <w:pPr>
        <w:pStyle w:val="Normal"/>
        <w:rPr/>
      </w:pPr>
      <w:r>
        <w:rPr/>
      </w:r>
    </w:p>
    <w:p>
      <w:pPr>
        <w:pStyle w:val="Normal"/>
        <w:rPr/>
      </w:pPr>
      <w:r>
        <w:rPr/>
        <w:t>[NAME OF SUPPLIER]</w:t>
      </w:r>
    </w:p>
    <w:p>
      <w:pPr>
        <w:pStyle w:val="Normal"/>
        <w:rPr/>
      </w:pPr>
      <w:r>
        <w:rPr/>
      </w:r>
    </w:p>
    <w:p>
      <w:pPr>
        <w:pStyle w:val="Normal"/>
        <w:rPr/>
      </w:pPr>
      <w:r>
        <w:rPr/>
        <w:t>By:_______________________</w:t>
      </w:r>
    </w:p>
    <w:p>
      <w:pPr>
        <w:pStyle w:val="Normal"/>
        <w:rPr/>
      </w:pPr>
      <w:r>
        <w:rPr/>
        <w:t>Name:</w:t>
      </w:r>
    </w:p>
    <w:p>
      <w:pPr>
        <w:pStyle w:val="Normal"/>
        <w:rPr/>
      </w:pPr>
      <w:r>
        <w:rPr/>
        <w:t>Title:</w:t>
      </w:r>
      <w:r>
        <w:br w:type="page"/>
      </w:r>
    </w:p>
    <w:p>
      <w:pPr>
        <w:pStyle w:val="Normal"/>
        <w:jc w:val="center"/>
        <w:rPr>
          <w:b/>
        </w:rPr>
      </w:pPr>
      <w:r>
        <w:rPr>
          <w:b/>
        </w:rPr>
        <w:t>EXHIBIT B</w:t>
      </w:r>
    </w:p>
    <w:p>
      <w:pPr>
        <w:pStyle w:val="Normal"/>
        <w:jc w:val="center"/>
        <w:rPr>
          <w:b/>
        </w:rPr>
      </w:pPr>
      <w:r>
        <w:rPr>
          <w:b/>
        </w:rPr>
      </w:r>
    </w:p>
    <w:p>
      <w:pPr>
        <w:pStyle w:val="Normal"/>
        <w:jc w:val="center"/>
        <w:rPr>
          <w:b/>
        </w:rPr>
      </w:pPr>
      <w:r>
        <w:rPr>
          <w:b/>
        </w:rPr>
        <w:t>ALLOCATION REPORT</w:t>
      </w:r>
    </w:p>
    <w:p>
      <w:pPr>
        <w:pStyle w:val="Normal"/>
        <w:jc w:val="center"/>
        <w:rPr>
          <w:b/>
        </w:rPr>
      </w:pPr>
      <w:r>
        <w:rPr>
          <w:b/>
        </w:rPr>
      </w:r>
    </w:p>
    <w:p>
      <w:pPr>
        <w:pStyle w:val="Normal"/>
        <w:rPr>
          <w:b/>
        </w:rPr>
      </w:pPr>
      <w:r>
        <w:rPr>
          <w:b/>
        </w:rPr>
      </w:r>
    </w:p>
    <w:p>
      <w:pPr>
        <w:pStyle w:val="Normal"/>
        <w:rPr/>
      </w:pPr>
      <w:r>
        <w:rPr/>
        <w:t>Gas Supplier Intercreditor and Collateral Agency Agreement</w:t>
      </w:r>
    </w:p>
    <w:p>
      <w:pPr>
        <w:pStyle w:val="Normal"/>
        <w:rPr/>
      </w:pPr>
      <w:r>
        <w:rPr/>
      </w:r>
    </w:p>
    <w:p>
      <w:pPr>
        <w:pStyle w:val="Normal"/>
        <w:rPr/>
      </w:pPr>
      <w:r>
        <w:rPr/>
        <w:t>Summary of Amount Owed as of [fill in date of preceding Friday]</w:t>
      </w:r>
    </w:p>
    <w:p>
      <w:pPr>
        <w:pStyle w:val="Normal"/>
        <w:rPr/>
      </w:pPr>
      <w:r>
        <w:rPr/>
      </w:r>
    </w:p>
    <w:p>
      <w:pPr>
        <w:pStyle w:val="Normal"/>
        <w:rPr/>
      </w:pPr>
      <w:r>
        <w:rPr>
          <w:u w:val="single"/>
        </w:rPr>
        <w:t>SUPPLIER</w:t>
      </w:r>
      <w:r>
        <w:rPr/>
        <w:tab/>
        <w:tab/>
        <w:tab/>
        <w:tab/>
      </w:r>
      <w:r>
        <w:rPr>
          <w:u w:val="single"/>
        </w:rPr>
        <w:t>AMOUNT OWED</w:t>
      </w:r>
    </w:p>
    <w:p>
      <w:pPr>
        <w:pStyle w:val="Normal"/>
        <w:rPr/>
      </w:pPr>
      <w:r>
        <w:rPr/>
      </w:r>
    </w:p>
    <w:p>
      <w:pPr>
        <w:pStyle w:val="Normal"/>
        <w:rPr/>
      </w:pPr>
      <w:r>
        <w:rPr/>
        <w:t>[list names of suppliers]</w:t>
        <w:tab/>
        <w:tab/>
        <w:tab/>
        <w:t>[List of corresponding Amount Owed]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TOTAL:</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center"/>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spacing w:lineRule="exact" w:line="200"/>
            <w:rPr/>
          </w:pPr>
          <w:r>
            <w:rPr>
              <w:rStyle w:val="zzmpTrailerItem"/>
            </w:rPr>
            <w:t>DOCSSF1:508284.7</w:t>
          </w:r>
          <w:r>
            <w:rPr/>
            <w:t xml:space="preserve"> </w:t>
          </w:r>
        </w:p>
        <w:p>
          <w:pPr>
            <w:pStyle w:val="Footer"/>
            <w:spacing w:lineRule="exact" w:line="200"/>
            <w:rPr/>
          </w:pPr>
          <w:r>
            <w:rPr/>
            <w:t xml:space="preserve"> </w:t>
          </w:r>
        </w:p>
      </w:tc>
      <w:tc>
        <w:tcPr>
          <w:tcW w:w="3192" w:type="dxa"/>
          <w:tcBorders/>
        </w:tcPr>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 xml:space="preserve"> -</w:t>
          </w:r>
        </w:p>
      </w:tc>
      <w:tc>
        <w:tcPr>
          <w:tcW w:w="3192" w:type="dxa"/>
          <w:tcBorders/>
        </w:tcPr>
        <w:p>
          <w:pPr>
            <w:pStyle w:val="Footer"/>
            <w:snapToGrid w:val="false"/>
            <w:jc w:val="end"/>
            <w:rPr>
              <w:rStyle w:val="PageNumber"/>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center"/>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spacing w:lineRule="exact" w:line="200"/>
            <w:rPr/>
          </w:pPr>
          <w:r>
            <w:rPr>
              <w:rStyle w:val="zzmpTrailerItem"/>
            </w:rPr>
            <w:t>DOCSSF1:508284.7</w:t>
          </w:r>
          <w:r>
            <w:rPr/>
            <w:t xml:space="preserve"> </w:t>
          </w:r>
        </w:p>
        <w:p>
          <w:pPr>
            <w:pStyle w:val="Footer"/>
            <w:spacing w:lineRule="exact" w:line="200"/>
            <w:rPr/>
          </w:pPr>
          <w:r>
            <w:rPr/>
          </w:r>
        </w:p>
      </w:tc>
      <w:tc>
        <w:tcPr>
          <w:tcW w:w="3192" w:type="dxa"/>
          <w:tcBorders/>
        </w:tcPr>
        <w:p>
          <w:pPr>
            <w:pStyle w:val="Footer"/>
            <w:snapToGrid w:val="false"/>
            <w:jc w:val="center"/>
            <w:rPr/>
          </w:pPr>
          <w:r>
            <w:rPr/>
          </w:r>
        </w:p>
      </w:tc>
      <w:tc>
        <w:tcPr>
          <w:tcW w:w="3192" w:type="dxa"/>
          <w:tcBorders/>
        </w:tcPr>
        <w:p>
          <w:pPr>
            <w:pStyle w:val="Footer"/>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97_1" w:val="659298-1.wpd"/>
    <w:docVar w:name="DOCX97_10" w:val="10/28/2000 1:24:30 PM"/>
    <w:docVar w:name="DOCX97_11" w:val="22911"/>
    <w:docVar w:name="DOCX97_2" w:val="c:\source\659298-1.wpd"/>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3" w:val="UNIDENTIFIEDHEADER"/>
    <w:docVar w:name="DOCX97_31" w:val="YesDelay"/>
    <w:docVar w:name="DOCX97_32" w:val="YesHardCenter"/>
    <w:docVar w:name="DOCX97_33" w:val="NoPTR"/>
    <w:docVar w:name="DOCX97_34" w:val="YesHorizAdv"/>
    <w:docVar w:name="DOCX97_35" w:val="YesVerticalAdv"/>
    <w:docVar w:name="DOCX97_36" w:val="NoNumbers"/>
    <w:docVar w:name="DOCX97_39" w:val="NoTOC"/>
    <w:docVar w:name="DOCX97_4" w:val="c:\target\659298-1.wpd"/>
    <w:docVar w:name="DOCX97_40" w:val="YesBackTabs"/>
    <w:docVar w:name="DOCX97_42" w:val="0Footnotes"/>
    <w:docVar w:name="DOCX97_43" w:val="0Endnotes"/>
    <w:docVar w:name="DOCX97_45" w:val="1"/>
    <w:docVar w:name="DOCX97_46" w:val="1"/>
    <w:docVar w:name="DOCX97_47" w:val="1"/>
    <w:docVar w:name="DOCX97_48" w:val="1"/>
    <w:docVar w:name="DOCX97_49" w:val="11"/>
    <w:docVar w:name="DOCX97_5" w:val=" 42409"/>
    <w:docVar w:name="DOCX97_50" w:val="Times New Roman Regular"/>
    <w:docVar w:name="DOCX97_51" w:val="NoDocType"/>
    <w:docVar w:name="DOCX97_52" w:val="Document"/>
    <w:docVar w:name="DOCX97_53" w:val="NoBoxes"/>
    <w:docVar w:name="DOCX97_54" w:val="YesLeading"/>
    <w:docVar w:name="DOCX97_55" w:val="10.98"/>
    <w:docVar w:name="DOCX97_58" w:val="GoodLabelDoc"/>
    <w:docVar w:name="DOCX97_59" w:val="8.5"/>
    <w:docVar w:name="DOCX97_6" w:val="84,992"/>
    <w:docVar w:name="DOCX97_61" w:val="NoSpacers"/>
    <w:docVar w:name="DOCX97_66" w:val="GoodQuotes"/>
    <w:docVar w:name="DOCX97_7" w:val="10/28/2000 1:39:27 PM"/>
    <w:docVar w:name="DOCX97_8" w:val="10/28/2000 1:39:35 PM"/>
    <w:docVar w:name="DOCX97_89" w:val="WordMacrosDone"/>
    <w:docVar w:name="DOCX97_90" w:val="DocX97WPDone"/>
    <w:docVar w:name="DOCX97_91" w:val="Altheimer &amp; Grey"/>
    <w:docVar w:name="DOCX97_92" w:val="10/28/2000"/>
    <w:docVar w:name="DOCX97_93" w:val="1:39:50 PM"/>
    <w:docVar w:name="iTrailerType" w:val="0"/>
    <w:docVar w:name="OMPTrailerStyle" w:val="001100"/>
    <w:docVar w:name="zzmpFixedDOC_ID" w:val="DOCSSF1:508284.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BodyText"/>
    <w:qFormat/>
    <w:pPr>
      <w:keepNext w:val="true"/>
      <w:numPr>
        <w:ilvl w:val="0"/>
        <w:numId w:val="1"/>
      </w:numPr>
      <w:suppressAutoHyphens w:val="true"/>
      <w:spacing w:before="0" w:after="240"/>
      <w:outlineLvl w:val="0"/>
    </w:pPr>
    <w:rPr>
      <w:lang w:eastAsia="en-US"/>
    </w:rPr>
  </w:style>
  <w:style w:type="paragraph" w:styleId="Heading2">
    <w:name w:val="heading 2"/>
    <w:basedOn w:val="Normal"/>
    <w:next w:val="BodyText"/>
    <w:qFormat/>
    <w:pPr>
      <w:numPr>
        <w:ilvl w:val="1"/>
        <w:numId w:val="1"/>
      </w:numPr>
      <w:suppressAutoHyphens w:val="true"/>
      <w:spacing w:before="0" w:after="240"/>
      <w:outlineLvl w:val="1"/>
    </w:pPr>
    <w:rPr>
      <w:lang w:eastAsia="en-US"/>
    </w:rPr>
  </w:style>
  <w:style w:type="paragraph" w:styleId="Heading3">
    <w:name w:val="heading 3"/>
    <w:basedOn w:val="Normal"/>
    <w:next w:val="BodyText"/>
    <w:qFormat/>
    <w:pPr>
      <w:numPr>
        <w:ilvl w:val="2"/>
        <w:numId w:val="1"/>
      </w:numPr>
      <w:suppressAutoHyphens w:val="true"/>
      <w:spacing w:before="0" w:after="240"/>
      <w:outlineLvl w:val="2"/>
    </w:pPr>
    <w:rPr>
      <w:lang w:eastAsia="en-US"/>
    </w:rPr>
  </w:style>
  <w:style w:type="paragraph" w:styleId="Heading4">
    <w:name w:val="heading 4"/>
    <w:basedOn w:val="Normal"/>
    <w:next w:val="BodyText"/>
    <w:qFormat/>
    <w:pPr>
      <w:numPr>
        <w:ilvl w:val="3"/>
        <w:numId w:val="1"/>
      </w:numPr>
      <w:tabs>
        <w:tab w:val="clear" w:pos="720"/>
        <w:tab w:val="left" w:pos="1440" w:leader="none"/>
      </w:tabs>
      <w:suppressAutoHyphens w:val="true"/>
      <w:spacing w:before="0" w:after="240"/>
      <w:outlineLvl w:val="3"/>
    </w:pPr>
    <w:rPr>
      <w:lang w:eastAsia="en-US"/>
    </w:rPr>
  </w:style>
  <w:style w:type="paragraph" w:styleId="Heading5">
    <w:name w:val="heading 5"/>
    <w:basedOn w:val="Normal"/>
    <w:next w:val="BodyText"/>
    <w:qFormat/>
    <w:pPr>
      <w:numPr>
        <w:ilvl w:val="4"/>
        <w:numId w:val="1"/>
      </w:numPr>
      <w:suppressAutoHyphens w:val="true"/>
      <w:spacing w:before="0" w:after="240"/>
      <w:outlineLvl w:val="4"/>
    </w:pPr>
    <w:rPr>
      <w:lang w:eastAsia="en-US"/>
    </w:rPr>
  </w:style>
  <w:style w:type="paragraph" w:styleId="Heading6">
    <w:name w:val="heading 6"/>
    <w:basedOn w:val="Normal"/>
    <w:next w:val="BodyText"/>
    <w:qFormat/>
    <w:pPr>
      <w:numPr>
        <w:ilvl w:val="5"/>
        <w:numId w:val="1"/>
      </w:numPr>
      <w:suppressAutoHyphens w:val="true"/>
      <w:spacing w:before="0" w:after="240"/>
      <w:outlineLvl w:val="5"/>
    </w:pPr>
    <w:rPr>
      <w:lang w:eastAsia="en-US"/>
    </w:rPr>
  </w:style>
  <w:style w:type="paragraph" w:styleId="Heading7">
    <w:name w:val="heading 7"/>
    <w:basedOn w:val="Normal"/>
    <w:next w:val="BodyText"/>
    <w:qFormat/>
    <w:pPr>
      <w:numPr>
        <w:ilvl w:val="6"/>
        <w:numId w:val="1"/>
      </w:numPr>
      <w:suppressAutoHyphens w:val="true"/>
      <w:spacing w:before="0" w:after="240"/>
      <w:outlineLvl w:val="6"/>
    </w:pPr>
    <w:rPr>
      <w:lang w:eastAsia="en-US"/>
    </w:rPr>
  </w:style>
  <w:style w:type="paragraph" w:styleId="Heading8">
    <w:name w:val="heading 8"/>
    <w:basedOn w:val="Normal"/>
    <w:next w:val="BodyText"/>
    <w:qFormat/>
    <w:pPr>
      <w:numPr>
        <w:ilvl w:val="7"/>
        <w:numId w:val="1"/>
      </w:numPr>
      <w:suppressAutoHyphens w:val="true"/>
      <w:spacing w:before="0" w:after="240"/>
      <w:outlineLvl w:val="7"/>
    </w:pPr>
    <w:rPr>
      <w:lang w:eastAsia="en-US"/>
    </w:rPr>
  </w:style>
  <w:style w:type="paragraph" w:styleId="Heading9">
    <w:name w:val="heading 9"/>
    <w:basedOn w:val="Normal"/>
    <w:next w:val="BodyText"/>
    <w:qFormat/>
    <w:pPr>
      <w:numPr>
        <w:ilvl w:val="8"/>
        <w:numId w:val="1"/>
      </w:numPr>
      <w:suppressAutoHyphens w:val="true"/>
      <w:spacing w:before="0" w:after="240"/>
      <w:outlineLvl w:val="8"/>
    </w:pPr>
    <w:rPr>
      <w:lang w:eastAsia="en-US"/>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raNum">
    <w:name w:val="ParaNum"/>
    <w:basedOn w:val="DefaultParagraphFont"/>
    <w:qFormat/>
    <w:rPr/>
  </w:style>
  <w:style w:type="character" w:styleId="PageNumber">
    <w:name w:val="page number"/>
    <w:basedOn w:val="DefaultParagraphFont"/>
    <w:rPr>
      <w:lang w:val="en-US"/>
    </w:rPr>
  </w:style>
  <w:style w:type="character" w:styleId="CommentReference">
    <w:name w:val="Comment Reference"/>
    <w:basedOn w:val="DefaultParagraphFont"/>
    <w:qFormat/>
    <w:rPr>
      <w:sz w:val="16"/>
    </w:rPr>
  </w:style>
  <w:style w:type="character" w:styleId="zzmpTrailerItem">
    <w:name w:val="zzmpTrailerItem"/>
    <w:basedOn w:val="DefaultParagraphFont"/>
    <w:qFormat/>
    <w:rPr>
      <w:rFonts w:ascii="Garamond" w:hAnsi="Garamond" w:cs="Garamond"/>
      <w:b w:val="false"/>
      <w:i w:val="false"/>
      <w:smallCaps/>
      <w:color w:val="800000"/>
      <w:spacing w:val="0"/>
      <w:sz w:val="16"/>
      <w:u w:val="no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tabs>
        <w:tab w:val="clear" w:pos="720"/>
        <w:tab w:val="left" w:pos="360" w:leader="none"/>
      </w:tabs>
      <w:spacing w:before="0" w:after="240"/>
      <w:ind w:hanging="360" w:start="360" w:end="0"/>
    </w:pPr>
    <w:rPr>
      <w:sz w:val="20"/>
    </w:rPr>
  </w:style>
  <w:style w:type="paragraph" w:styleId="DocX97Comment">
    <w:name w:val="DocX97Comment"/>
    <w:basedOn w:val="Normal"/>
    <w:qFormat/>
    <w:pPr/>
    <w:rPr>
      <w:b/>
      <w:i/>
      <w:color w:val="FF0000"/>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EndnoteText">
    <w:name w:val="endnote text"/>
    <w:basedOn w:val="Normal"/>
    <w:pPr>
      <w:spacing w:before="0" w:after="240"/>
    </w:pPr>
    <w:rPr/>
  </w:style>
  <w:style w:type="paragraph" w:styleId="FootnoteTextMore">
    <w:name w:val="Footnote TextMore"/>
    <w:basedOn w:val="FootnoteText"/>
    <w:qFormat/>
    <w:pPr>
      <w:widowControl w:val="false"/>
      <w:tabs>
        <w:tab w:val="clear" w:pos="360"/>
        <w:tab w:val="left" w:pos="432" w:leader="none"/>
      </w:tabs>
      <w:spacing w:before="0" w:after="120"/>
      <w:ind w:hanging="0" w:start="432" w:end="0"/>
    </w:pPr>
    <w:rPr/>
  </w:style>
  <w:style w:type="paragraph" w:styleId="EndnoteTextMore">
    <w:name w:val="Endnote TextMore"/>
    <w:basedOn w:val="Normal"/>
    <w:qFormat/>
    <w:pPr>
      <w:spacing w:before="0" w:after="120"/>
      <w:ind w:firstLine="432" w:start="0" w:end="0"/>
    </w:pPr>
    <w:rPr>
      <w:sz w:val="20"/>
    </w:rPr>
  </w:style>
  <w:style w:type="paragraph" w:styleId="AG-Bullet">
    <w:name w:val="AG-Bullet"/>
    <w:basedOn w:val="Normal"/>
    <w:qFormat/>
    <w:pPr>
      <w:numPr>
        <w:ilvl w:val="0"/>
        <w:numId w:val="2"/>
      </w:numPr>
      <w:spacing w:before="0" w:after="240"/>
      <w:ind w:hanging="720" w:start="1440" w:end="0"/>
    </w:pPr>
    <w:rPr/>
  </w:style>
  <w:style w:type="paragraph" w:styleId="AG-DblInd55J">
    <w:name w:val="AG-Dbl Ind .5/.5 J"/>
    <w:basedOn w:val="Normal"/>
    <w:qFormat/>
    <w:pPr>
      <w:spacing w:before="0" w:after="240"/>
      <w:ind w:hanging="0" w:start="720" w:end="720"/>
      <w:jc w:val="both"/>
    </w:pPr>
    <w:rPr/>
  </w:style>
  <w:style w:type="paragraph" w:styleId="AG-DblInd55">
    <w:name w:val="AG-Dbl Ind .5/.5"/>
    <w:basedOn w:val="Normal"/>
    <w:qFormat/>
    <w:pPr>
      <w:spacing w:before="0" w:after="240"/>
      <w:ind w:hanging="0" w:start="720" w:end="720"/>
    </w:pPr>
    <w:rPr/>
  </w:style>
  <w:style w:type="paragraph" w:styleId="AG-DblInd11J">
    <w:name w:val="AG-Dbl Ind 1/1 J"/>
    <w:basedOn w:val="Normal"/>
    <w:qFormat/>
    <w:pPr>
      <w:spacing w:before="0" w:after="240"/>
      <w:ind w:hanging="0" w:start="1440" w:end="1440"/>
      <w:jc w:val="both"/>
    </w:pPr>
    <w:rPr/>
  </w:style>
  <w:style w:type="paragraph" w:styleId="AG-DblInd11">
    <w:name w:val="AG-Dbl Ind 1/1"/>
    <w:basedOn w:val="Normal"/>
    <w:qFormat/>
    <w:pPr>
      <w:spacing w:before="0" w:after="240"/>
      <w:ind w:hanging="0" w:start="1440" w:end="1440"/>
    </w:pPr>
    <w:rPr/>
  </w:style>
  <w:style w:type="paragraph" w:styleId="AG-DblSpFL5J">
    <w:name w:val="AG-Dbl Sp FL .5 J"/>
    <w:basedOn w:val="Normal"/>
    <w:qFormat/>
    <w:pPr>
      <w:spacing w:lineRule="auto" w:line="480"/>
      <w:ind w:firstLine="720" w:start="0" w:end="0"/>
      <w:jc w:val="both"/>
    </w:pPr>
    <w:rPr/>
  </w:style>
  <w:style w:type="paragraph" w:styleId="AG-DblSpFL5">
    <w:name w:val="AG-Dbl Sp FL .5"/>
    <w:basedOn w:val="Normal"/>
    <w:qFormat/>
    <w:pPr>
      <w:spacing w:lineRule="auto" w:line="480"/>
      <w:ind w:firstLine="720" w:start="0" w:end="0"/>
    </w:pPr>
    <w:rPr/>
  </w:style>
  <w:style w:type="paragraph" w:styleId="AG-DblSpFL1J">
    <w:name w:val="AG-Dbl Sp FL 1 J"/>
    <w:basedOn w:val="Normal"/>
    <w:qFormat/>
    <w:pPr>
      <w:spacing w:lineRule="auto" w:line="480"/>
      <w:ind w:firstLine="1440" w:start="0" w:end="0"/>
      <w:jc w:val="both"/>
    </w:pPr>
    <w:rPr/>
  </w:style>
  <w:style w:type="paragraph" w:styleId="AG-DblSpFL1">
    <w:name w:val="AG-Dbl Sp FL 1"/>
    <w:basedOn w:val="Normal"/>
    <w:qFormat/>
    <w:pPr>
      <w:spacing w:lineRule="auto" w:line="480"/>
      <w:ind w:firstLine="1440" w:start="0" w:end="0"/>
    </w:pPr>
    <w:rPr/>
  </w:style>
  <w:style w:type="paragraph" w:styleId="AG-DblSpJ">
    <w:name w:val="AG-Dbl Sp J"/>
    <w:basedOn w:val="Normal"/>
    <w:qFormat/>
    <w:pPr>
      <w:spacing w:lineRule="auto" w:line="480"/>
      <w:jc w:val="both"/>
    </w:pPr>
    <w:rPr/>
  </w:style>
  <w:style w:type="paragraph" w:styleId="AG-DblSp">
    <w:name w:val="AG-Dbl Sp"/>
    <w:basedOn w:val="Normal"/>
    <w:qFormat/>
    <w:pPr>
      <w:spacing w:lineRule="auto" w:line="480"/>
    </w:pPr>
    <w:rPr/>
  </w:style>
  <w:style w:type="paragraph" w:styleId="AG-Hang">
    <w:name w:val="AG-Hang"/>
    <w:basedOn w:val="Normal"/>
    <w:qFormat/>
    <w:pPr>
      <w:spacing w:before="0" w:after="240"/>
      <w:ind w:hanging="720" w:start="1440" w:end="0"/>
    </w:pPr>
    <w:rPr/>
  </w:style>
  <w:style w:type="paragraph" w:styleId="AG-HeaderD">
    <w:name w:val="AG-Header D"/>
    <w:basedOn w:val="Normal"/>
    <w:next w:val="Normal"/>
    <w:qFormat/>
    <w:pPr>
      <w:keepNext w:val="true"/>
      <w:spacing w:before="0" w:after="240"/>
      <w:jc w:val="center"/>
    </w:pPr>
    <w:rPr>
      <w:b/>
      <w:u w:val="single"/>
    </w:rPr>
  </w:style>
  <w:style w:type="paragraph" w:styleId="AG-HeadingA">
    <w:name w:val="AG-Heading A"/>
    <w:basedOn w:val="Normal"/>
    <w:next w:val="Normal"/>
    <w:qFormat/>
    <w:pPr>
      <w:keepNext w:val="true"/>
      <w:spacing w:before="0" w:after="240"/>
      <w:jc w:val="center"/>
    </w:pPr>
    <w:rPr>
      <w:b/>
      <w:caps/>
      <w:u w:val="single"/>
    </w:rPr>
  </w:style>
  <w:style w:type="paragraph" w:styleId="AG-HeadingB">
    <w:name w:val="AG-Heading B"/>
    <w:basedOn w:val="Normal"/>
    <w:next w:val="Normal"/>
    <w:qFormat/>
    <w:pPr>
      <w:keepNext w:val="true"/>
      <w:spacing w:before="0" w:after="240"/>
      <w:jc w:val="center"/>
    </w:pPr>
    <w:rPr>
      <w:b/>
      <w:caps/>
    </w:rPr>
  </w:style>
  <w:style w:type="paragraph" w:styleId="AG-HeadingC">
    <w:name w:val="AG-Heading C"/>
    <w:basedOn w:val="Normal"/>
    <w:next w:val="Normal"/>
    <w:qFormat/>
    <w:pPr>
      <w:keepNext w:val="true"/>
      <w:spacing w:before="0" w:after="240"/>
      <w:jc w:val="center"/>
    </w:pPr>
    <w:rPr>
      <w:caps/>
      <w:u w:val="single"/>
    </w:rPr>
  </w:style>
  <w:style w:type="paragraph" w:styleId="AG-Sig35">
    <w:name w:val="AG-Sig 3.5"/>
    <w:basedOn w:val="Normal"/>
    <w:qFormat/>
    <w:pPr>
      <w:keepLines/>
      <w:ind w:hanging="0" w:start="5040" w:end="0"/>
    </w:pPr>
    <w:rPr/>
  </w:style>
  <w:style w:type="paragraph" w:styleId="AG-Sig4">
    <w:name w:val="AG-Sig 4"/>
    <w:basedOn w:val="Normal"/>
    <w:qFormat/>
    <w:pPr>
      <w:keepLines/>
      <w:ind w:hanging="0" w:start="5760" w:end="0"/>
    </w:pPr>
    <w:rPr/>
  </w:style>
  <w:style w:type="paragraph" w:styleId="AG-Sig45">
    <w:name w:val="AG-Sig 4.5"/>
    <w:basedOn w:val="Normal"/>
    <w:qFormat/>
    <w:pPr>
      <w:keepLines/>
      <w:ind w:hanging="0" w:start="6480" w:end="0"/>
    </w:pPr>
    <w:rPr/>
  </w:style>
  <w:style w:type="paragraph" w:styleId="AG-SingleSpFL5J">
    <w:name w:val="AG-Single Sp FL .5 J"/>
    <w:basedOn w:val="Normal"/>
    <w:qFormat/>
    <w:pPr>
      <w:spacing w:before="0" w:after="240"/>
      <w:ind w:firstLine="720" w:start="0" w:end="0"/>
      <w:jc w:val="both"/>
    </w:pPr>
    <w:rPr/>
  </w:style>
  <w:style w:type="paragraph" w:styleId="AG-SingleSpFL1J">
    <w:name w:val="AG-Single Sp FL 1 J"/>
    <w:basedOn w:val="Normal"/>
    <w:qFormat/>
    <w:pPr>
      <w:spacing w:before="0" w:after="240"/>
      <w:ind w:firstLine="1440" w:start="0" w:end="0"/>
      <w:jc w:val="both"/>
    </w:pPr>
    <w:rPr/>
  </w:style>
  <w:style w:type="paragraph" w:styleId="AG-SingleSpFL1">
    <w:name w:val="AG-Single Sp FL 1"/>
    <w:basedOn w:val="Normal"/>
    <w:qFormat/>
    <w:pPr>
      <w:spacing w:before="0" w:after="240"/>
      <w:ind w:firstLine="1440" w:start="0" w:end="0"/>
    </w:pPr>
    <w:rPr/>
  </w:style>
  <w:style w:type="paragraph" w:styleId="AG-SingleSpFL5">
    <w:name w:val="AG-Single Sp FL.5"/>
    <w:basedOn w:val="Normal"/>
    <w:qFormat/>
    <w:pPr>
      <w:spacing w:before="0" w:after="240"/>
      <w:ind w:firstLine="720" w:start="0" w:end="0"/>
    </w:pPr>
    <w:rPr/>
  </w:style>
  <w:style w:type="paragraph" w:styleId="AG-SingleSpJ">
    <w:name w:val="AG-Single Sp J"/>
    <w:basedOn w:val="Normal"/>
    <w:qFormat/>
    <w:pPr>
      <w:spacing w:before="0" w:after="240"/>
      <w:jc w:val="both"/>
    </w:pPr>
    <w:rPr/>
  </w:style>
  <w:style w:type="paragraph" w:styleId="AG-SingleSp">
    <w:name w:val="AG-Single Sp"/>
    <w:basedOn w:val="Normal"/>
    <w:qFormat/>
    <w:pPr>
      <w:spacing w:before="0" w:after="240"/>
    </w:pPr>
    <w:rPr/>
  </w:style>
  <w:style w:type="paragraph" w:styleId="TOC1">
    <w:name w:val="toc 1"/>
    <w:basedOn w:val="Normal"/>
    <w:next w:val="Normal"/>
    <w:pPr>
      <w:tabs>
        <w:tab w:val="clear" w:pos="720"/>
        <w:tab w:val="right" w:pos="9360" w:leader="dot"/>
      </w:tabs>
      <w:spacing w:before="120" w:after="120"/>
      <w:ind w:hanging="0" w:start="0" w:end="720"/>
    </w:pPr>
    <w:rPr>
      <w:caps/>
      <w:lang w:val="en-CA" w:eastAsia="en-US"/>
    </w:rPr>
  </w:style>
  <w:style w:type="paragraph" w:styleId="TOC2">
    <w:name w:val="toc 2"/>
    <w:basedOn w:val="Normal"/>
    <w:next w:val="Normal"/>
    <w:pPr>
      <w:tabs>
        <w:tab w:val="clear" w:pos="720"/>
        <w:tab w:val="right" w:pos="9360" w:leader="dot"/>
      </w:tabs>
      <w:spacing w:before="0" w:after="120"/>
      <w:ind w:hanging="0" w:start="245" w:end="720"/>
    </w:pPr>
    <w:rPr>
      <w:smallCaps/>
      <w:lang w:val="en-CA" w:eastAsia="en-US"/>
    </w:rPr>
  </w:style>
  <w:style w:type="paragraph" w:styleId="TOC3">
    <w:name w:val="toc 3"/>
    <w:basedOn w:val="Normal"/>
    <w:next w:val="Normal"/>
    <w:pPr>
      <w:tabs>
        <w:tab w:val="clear" w:pos="720"/>
        <w:tab w:val="right" w:pos="9360" w:leader="dot"/>
      </w:tabs>
      <w:spacing w:before="0" w:after="120"/>
      <w:ind w:hanging="0" w:start="475" w:end="720"/>
    </w:pPr>
    <w:rPr>
      <w:lang w:val="en-CA" w:eastAsia="en-US"/>
    </w:rPr>
  </w:style>
  <w:style w:type="paragraph" w:styleId="TOC4">
    <w:name w:val="toc 4"/>
    <w:basedOn w:val="Normal"/>
    <w:next w:val="Normal"/>
    <w:pPr>
      <w:ind w:hanging="0" w:start="720" w:end="0"/>
    </w:pPr>
    <w:rPr>
      <w:lang w:val="en-CA"/>
    </w:rPr>
  </w:style>
  <w:style w:type="paragraph" w:styleId="TOC5">
    <w:name w:val="toc 5"/>
    <w:basedOn w:val="Normal"/>
    <w:next w:val="Normal"/>
    <w:pPr>
      <w:ind w:hanging="0" w:start="960" w:end="0"/>
    </w:pPr>
    <w:rPr>
      <w:lang w:val="en-CA"/>
    </w:rPr>
  </w:style>
  <w:style w:type="paragraph" w:styleId="TOC6">
    <w:name w:val="toc 6"/>
    <w:basedOn w:val="Normal"/>
    <w:next w:val="Normal"/>
    <w:pPr>
      <w:ind w:hanging="0" w:start="1200" w:end="0"/>
    </w:pPr>
    <w:rPr>
      <w:lang w:val="en-CA"/>
    </w:rPr>
  </w:style>
  <w:style w:type="paragraph" w:styleId="TOC7">
    <w:name w:val="toc 7"/>
    <w:basedOn w:val="Normal"/>
    <w:next w:val="Normal"/>
    <w:pPr>
      <w:ind w:hanging="0" w:start="1440" w:end="0"/>
    </w:pPr>
    <w:rPr>
      <w:lang w:val="en-CA"/>
    </w:rPr>
  </w:style>
  <w:style w:type="paragraph" w:styleId="TOC8">
    <w:name w:val="toc 8"/>
    <w:basedOn w:val="Normal"/>
    <w:next w:val="Normal"/>
    <w:pPr>
      <w:ind w:hanging="0" w:start="1680" w:end="0"/>
    </w:pPr>
    <w:rPr>
      <w:lang w:val="en-CA"/>
    </w:rPr>
  </w:style>
  <w:style w:type="paragraph" w:styleId="TOC9">
    <w:name w:val="toc 9"/>
    <w:basedOn w:val="Normal"/>
    <w:next w:val="Normal"/>
    <w:pPr>
      <w:ind w:hanging="0" w:start="1920" w:end="0"/>
    </w:pPr>
    <w:rPr>
      <w:lang w:val="en-CA"/>
    </w:rPr>
  </w:style>
  <w:style w:type="paragraph" w:styleId="TableofAuthorities">
    <w:name w:val="Table of Authorities"/>
    <w:basedOn w:val="Normal"/>
    <w:next w:val="Normal"/>
    <w:qFormat/>
    <w:pPr>
      <w:suppressAutoHyphens w:val="true"/>
      <w:spacing w:before="0" w:after="240"/>
      <w:ind w:hanging="245" w:start="245" w:end="0"/>
    </w:pPr>
    <w:rPr>
      <w:lang w:eastAsia="en-US"/>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2001-02-06T18:10:00Z</dcterms:created>
  <dc:creator>convert1</dc:creator>
  <dc:description/>
  <cp:keywords>63286745.02</cp:keywords>
  <dc:language>en-CA</dc:language>
  <cp:lastModifiedBy>Dora Mao</cp:lastModifiedBy>
  <cp:lastPrinted>2001-01-24T23:59:00Z</cp:lastPrinted>
  <dcterms:modified xsi:type="dcterms:W3CDTF">2001-02-06T18:14:00Z</dcterms:modified>
  <cp:revision>4</cp:revision>
  <dc:subject/>
  <dc:title>INTERCREDITOR AND COLLATERAL AGENCY AGREEMENT</dc:title>
</cp:coreProperties>
</file>