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Indent"/>
        <w:ind w:hanging="0" w:start="0" w:end="0"/>
        <w:jc w:val="center"/>
        <w:rPr>
          <w:sz w:val="24"/>
        </w:rPr>
      </w:pPr>
      <w:r>
        <w:rPr>
          <w:sz w:val="24"/>
        </w:rPr>
        <w:t>ISO New England Inc.</w:t>
      </w:r>
    </w:p>
    <w:p>
      <w:pPr>
        <w:pStyle w:val="BodyTextIndent"/>
        <w:ind w:hanging="0" w:start="0" w:end="0"/>
        <w:jc w:val="center"/>
        <w:rPr>
          <w:sz w:val="24"/>
        </w:rPr>
      </w:pPr>
      <w:r>
        <w:rPr>
          <w:sz w:val="24"/>
        </w:rPr>
        <w:t>Project 39</w:t>
      </w:r>
    </w:p>
    <w:p>
      <w:pPr>
        <w:pStyle w:val="BodyTextIndent"/>
        <w:ind w:hanging="0" w:start="0" w:end="0"/>
        <w:jc w:val="center"/>
        <w:rPr>
          <w:sz w:val="24"/>
        </w:rPr>
      </w:pPr>
      <w:r>
        <w:rPr>
          <w:sz w:val="24"/>
        </w:rPr>
      </w:r>
    </w:p>
    <w:p>
      <w:pPr>
        <w:pStyle w:val="BodyTextIndent"/>
        <w:ind w:hanging="0" w:start="0" w:end="0"/>
        <w:jc w:val="center"/>
        <w:rPr>
          <w:sz w:val="24"/>
        </w:rPr>
      </w:pPr>
      <w:r>
        <w:rPr>
          <w:sz w:val="24"/>
        </w:rPr>
        <w:t>“</w:t>
      </w:r>
      <w:r>
        <w:rPr>
          <w:sz w:val="24"/>
        </w:rPr>
        <w:t>An Adequacy and Reliability Assessment of</w:t>
      </w:r>
    </w:p>
    <w:p>
      <w:pPr>
        <w:pStyle w:val="BodyTextIndent"/>
        <w:ind w:hanging="0" w:start="0" w:end="0"/>
        <w:jc w:val="center"/>
        <w:rPr>
          <w:sz w:val="24"/>
        </w:rPr>
      </w:pPr>
      <w:r>
        <w:rPr>
          <w:sz w:val="24"/>
        </w:rPr>
        <w:t>New England’s Natural Gas Pipeline Infrastructure to</w:t>
      </w:r>
    </w:p>
    <w:p>
      <w:pPr>
        <w:pStyle w:val="BodyTextIndent"/>
        <w:ind w:hanging="0" w:start="0" w:end="0"/>
        <w:jc w:val="center"/>
        <w:rPr>
          <w:sz w:val="24"/>
        </w:rPr>
      </w:pPr>
      <w:r>
        <w:rPr>
          <w:sz w:val="24"/>
        </w:rPr>
        <w:t>Serve the Growing Demand from the Electric Power Generation Sector”</w:t>
      </w:r>
    </w:p>
    <w:p>
      <w:pPr>
        <w:pStyle w:val="BodyTextIndent"/>
        <w:ind w:hanging="0" w:start="0" w:end="0"/>
        <w:jc w:val="center"/>
        <w:rPr>
          <w:sz w:val="24"/>
        </w:rPr>
      </w:pPr>
      <w:r>
        <w:rPr>
          <w:sz w:val="24"/>
        </w:rPr>
        <w:t>a.k.a</w:t>
      </w:r>
    </w:p>
    <w:p>
      <w:pPr>
        <w:pStyle w:val="BodyTextIndent"/>
        <w:ind w:hanging="0" w:start="0" w:end="0"/>
        <w:jc w:val="center"/>
        <w:rPr>
          <w:sz w:val="24"/>
        </w:rPr>
      </w:pPr>
      <w:r>
        <w:rPr>
          <w:sz w:val="24"/>
        </w:rPr>
        <w:t>“</w:t>
      </w:r>
      <w:r>
        <w:rPr>
          <w:sz w:val="24"/>
        </w:rPr>
        <w:t>The New England Gas Study”</w:t>
      </w:r>
    </w:p>
    <w:p>
      <w:pPr>
        <w:pStyle w:val="BodyTextIndent"/>
        <w:ind w:hanging="0" w:start="0" w:end="0"/>
        <w:jc w:val="center"/>
        <w:rPr>
          <w:sz w:val="24"/>
        </w:rPr>
      </w:pPr>
      <w:r>
        <w:rPr>
          <w:sz w:val="24"/>
        </w:rPr>
      </w:r>
    </w:p>
    <w:p>
      <w:pPr>
        <w:pStyle w:val="BodyTextIndent"/>
        <w:ind w:hanging="0" w:start="0" w:end="0"/>
        <w:jc w:val="center"/>
        <w:rPr>
          <w:sz w:val="24"/>
        </w:rPr>
      </w:pPr>
      <w:r>
        <w:rPr>
          <w:sz w:val="24"/>
        </w:rPr>
      </w:r>
    </w:p>
    <w:p>
      <w:pPr>
        <w:pStyle w:val="BodyTextIndent"/>
        <w:ind w:hanging="0" w:start="0" w:end="0"/>
        <w:jc w:val="center"/>
        <w:rPr>
          <w:sz w:val="24"/>
        </w:rPr>
      </w:pPr>
      <w:r>
        <w:rPr>
          <w:sz w:val="24"/>
        </w:rPr>
        <w:t>SCOPE OF WORK</w:t>
      </w:r>
    </w:p>
    <w:p>
      <w:pPr>
        <w:pStyle w:val="Normal"/>
        <w:rPr>
          <w:sz w:val="24"/>
        </w:rPr>
      </w:pPr>
      <w:r>
        <w:rPr>
          <w:sz w:val="24"/>
        </w:rPr>
      </w:r>
    </w:p>
    <w:p>
      <w:pPr>
        <w:pStyle w:val="Normal"/>
        <w:numPr>
          <w:ilvl w:val="0"/>
          <w:numId w:val="15"/>
        </w:numPr>
        <w:rPr>
          <w:sz w:val="24"/>
        </w:rPr>
      </w:pPr>
      <w:r>
        <w:rPr>
          <w:sz w:val="24"/>
        </w:rPr>
        <w:t>Analysis of Existing Infrastructure.  Develop a computerized engineering model (a mathematical model) of the pipeline systems serving the NEPOOL region (the “Database”).</w:t>
      </w:r>
    </w:p>
    <w:p>
      <w:pPr>
        <w:pStyle w:val="Normal"/>
        <w:rPr>
          <w:sz w:val="24"/>
        </w:rPr>
      </w:pPr>
      <w:r>
        <w:rPr>
          <w:sz w:val="24"/>
        </w:rPr>
      </w:r>
    </w:p>
    <w:p>
      <w:pPr>
        <w:pStyle w:val="Normal"/>
        <w:numPr>
          <w:ilvl w:val="0"/>
          <w:numId w:val="7"/>
        </w:numPr>
        <w:rPr>
          <w:sz w:val="24"/>
        </w:rPr>
      </w:pPr>
      <w:r>
        <w:rPr>
          <w:sz w:val="24"/>
        </w:rPr>
        <w:t>Identify pipelines to be included in model, individually and by NEPOOL sub-region.</w:t>
      </w:r>
    </w:p>
    <w:p>
      <w:pPr>
        <w:pStyle w:val="Normal"/>
        <w:numPr>
          <w:ilvl w:val="0"/>
          <w:numId w:val="7"/>
        </w:numPr>
        <w:rPr>
          <w:sz w:val="24"/>
        </w:rPr>
      </w:pPr>
      <w:r>
        <w:rPr>
          <w:sz w:val="24"/>
        </w:rPr>
        <w:t>Summarize existing firm delivery obligations: contractual and physical.</w:t>
      </w:r>
    </w:p>
    <w:p>
      <w:pPr>
        <w:pStyle w:val="Normal"/>
        <w:numPr>
          <w:ilvl w:val="0"/>
          <w:numId w:val="7"/>
        </w:numPr>
        <w:rPr>
          <w:sz w:val="24"/>
        </w:rPr>
      </w:pPr>
      <w:r>
        <w:rPr>
          <w:sz w:val="24"/>
        </w:rPr>
        <w:t>Specify existing systems' physical characteristics, including:</w:t>
      </w:r>
    </w:p>
    <w:p>
      <w:pPr>
        <w:pStyle w:val="Normal"/>
        <w:numPr>
          <w:ilvl w:val="0"/>
          <w:numId w:val="11"/>
        </w:numPr>
        <w:rPr>
          <w:sz w:val="24"/>
        </w:rPr>
      </w:pPr>
      <w:r>
        <w:rPr>
          <w:sz w:val="24"/>
        </w:rPr>
        <w:t>Pipeline length, diameter, maximum allowable operating pressure, minimum contract pressure.</w:t>
      </w:r>
    </w:p>
    <w:p>
      <w:pPr>
        <w:pStyle w:val="Normal"/>
        <w:numPr>
          <w:ilvl w:val="0"/>
          <w:numId w:val="11"/>
        </w:numPr>
        <w:rPr>
          <w:sz w:val="24"/>
        </w:rPr>
      </w:pPr>
      <w:r>
        <w:rPr>
          <w:sz w:val="24"/>
        </w:rPr>
        <w:t xml:space="preserve">Mainline and lateral pipeline capacity. </w:t>
      </w:r>
    </w:p>
    <w:p>
      <w:pPr>
        <w:pStyle w:val="Normal"/>
        <w:numPr>
          <w:ilvl w:val="0"/>
          <w:numId w:val="11"/>
        </w:numPr>
        <w:rPr>
          <w:sz w:val="24"/>
        </w:rPr>
      </w:pPr>
      <w:r>
        <w:rPr>
          <w:sz w:val="24"/>
        </w:rPr>
        <w:t>Compressor station detail, including performance rating and horsepower.</w:t>
      </w:r>
    </w:p>
    <w:p>
      <w:pPr>
        <w:pStyle w:val="Normal"/>
        <w:numPr>
          <w:ilvl w:val="0"/>
          <w:numId w:val="11"/>
        </w:numPr>
        <w:rPr>
          <w:sz w:val="24"/>
        </w:rPr>
      </w:pPr>
      <w:r>
        <w:rPr>
          <w:sz w:val="24"/>
        </w:rPr>
        <w:t>Existing receipt and delivery points.</w:t>
      </w:r>
    </w:p>
    <w:p>
      <w:pPr>
        <w:pStyle w:val="Normal"/>
        <w:numPr>
          <w:ilvl w:val="0"/>
          <w:numId w:val="7"/>
        </w:numPr>
        <w:rPr>
          <w:sz w:val="24"/>
        </w:rPr>
      </w:pPr>
      <w:r>
        <w:rPr>
          <w:sz w:val="24"/>
        </w:rPr>
        <w:t>Validate model performance against system design data and contractual delivery obligations.</w:t>
      </w:r>
    </w:p>
    <w:p>
      <w:pPr>
        <w:pStyle w:val="Normal"/>
        <w:rPr>
          <w:sz w:val="24"/>
        </w:rPr>
      </w:pPr>
      <w:r>
        <w:rPr>
          <w:sz w:val="24"/>
        </w:rPr>
      </w:r>
    </w:p>
    <w:p>
      <w:pPr>
        <w:pStyle w:val="Normal"/>
        <w:numPr>
          <w:ilvl w:val="0"/>
          <w:numId w:val="15"/>
        </w:numPr>
        <w:tabs>
          <w:tab w:val="clear" w:pos="720"/>
          <w:tab w:val="left" w:pos="2880" w:leader="none"/>
        </w:tabs>
        <w:rPr>
          <w:sz w:val="24"/>
        </w:rPr>
      </w:pPr>
      <w:r>
        <w:rPr>
          <w:sz w:val="24"/>
        </w:rPr>
        <w:t>Expected Pipeline Infrastructure Additions through 2005, by pipeline and NEPOOL sub-region: Update Database for planned capacity expansions, including detail covered in 1(a) through 1(c)(4) above.</w:t>
      </w:r>
    </w:p>
    <w:p>
      <w:pPr>
        <w:pStyle w:val="Normal"/>
        <w:tabs>
          <w:tab w:val="clear" w:pos="720"/>
          <w:tab w:val="left" w:pos="540" w:leader="none"/>
        </w:tabs>
        <w:ind w:hanging="540" w:start="540" w:end="0"/>
        <w:rPr>
          <w:sz w:val="24"/>
        </w:rPr>
      </w:pPr>
      <w:r>
        <w:rPr>
          <w:sz w:val="24"/>
        </w:rPr>
      </w:r>
    </w:p>
    <w:p>
      <w:pPr>
        <w:pStyle w:val="Normal"/>
        <w:numPr>
          <w:ilvl w:val="0"/>
          <w:numId w:val="15"/>
        </w:numPr>
        <w:tabs>
          <w:tab w:val="clear" w:pos="720"/>
          <w:tab w:val="left" w:pos="2880" w:leader="none"/>
        </w:tabs>
        <w:rPr>
          <w:sz w:val="24"/>
        </w:rPr>
      </w:pPr>
      <w:r>
        <w:rPr>
          <w:sz w:val="24"/>
        </w:rPr>
        <w:t>Verify unit cost of expansion for the largest and/or most controversial planned capacity expansions for pipelines identified in 2 above.  Use as a check against amount of proposed pipeline additions.  Include in Database.</w:t>
      </w:r>
    </w:p>
    <w:p>
      <w:pPr>
        <w:pStyle w:val="Normal"/>
        <w:tabs>
          <w:tab w:val="clear" w:pos="720"/>
          <w:tab w:val="left" w:pos="540" w:leader="none"/>
        </w:tabs>
        <w:ind w:hanging="540" w:start="540" w:end="0"/>
        <w:rPr>
          <w:sz w:val="24"/>
        </w:rPr>
      </w:pPr>
      <w:r>
        <w:rPr>
          <w:sz w:val="24"/>
        </w:rPr>
      </w:r>
    </w:p>
    <w:p>
      <w:pPr>
        <w:pStyle w:val="Normal"/>
        <w:numPr>
          <w:ilvl w:val="0"/>
          <w:numId w:val="15"/>
        </w:numPr>
        <w:tabs>
          <w:tab w:val="clear" w:pos="720"/>
          <w:tab w:val="left" w:pos="2880" w:leader="none"/>
        </w:tabs>
        <w:rPr>
          <w:sz w:val="24"/>
        </w:rPr>
      </w:pPr>
      <w:r>
        <w:rPr>
          <w:sz w:val="24"/>
        </w:rPr>
        <w:t xml:space="preserve">Using a forecast horizon through 2005, evaluate growth in end-use demand, excluding electric power projects, for natural gas in region by 2003 and 2005. </w:t>
      </w:r>
      <w:r>
        <w:rPr>
          <w:i/>
          <w:sz w:val="24"/>
        </w:rPr>
        <w:t>ISO-NE will provide input assumptions</w:t>
      </w:r>
      <w:r>
        <w:rPr>
          <w:sz w:val="24"/>
        </w:rPr>
        <w:t>.  Forecast is to be based on recent prior studies provided by ISO-NE and updated as necessary by Consultant.  Include in Database.</w:t>
      </w:r>
    </w:p>
    <w:p>
      <w:pPr>
        <w:pStyle w:val="Normal"/>
        <w:numPr>
          <w:ilvl w:val="0"/>
          <w:numId w:val="2"/>
        </w:numPr>
        <w:rPr>
          <w:sz w:val="24"/>
        </w:rPr>
      </w:pPr>
      <w:r>
        <w:rPr>
          <w:sz w:val="24"/>
        </w:rPr>
        <w:t>Residential</w:t>
      </w:r>
    </w:p>
    <w:p>
      <w:pPr>
        <w:pStyle w:val="Normal"/>
        <w:numPr>
          <w:ilvl w:val="0"/>
          <w:numId w:val="2"/>
        </w:numPr>
        <w:rPr>
          <w:sz w:val="24"/>
        </w:rPr>
      </w:pPr>
      <w:r>
        <w:rPr>
          <w:sz w:val="24"/>
        </w:rPr>
        <w:t>Commercial</w:t>
      </w:r>
    </w:p>
    <w:p>
      <w:pPr>
        <w:pStyle w:val="Normal"/>
        <w:numPr>
          <w:ilvl w:val="0"/>
          <w:numId w:val="2"/>
        </w:numPr>
        <w:rPr>
          <w:sz w:val="24"/>
        </w:rPr>
      </w:pPr>
      <w:r>
        <w:rPr>
          <w:sz w:val="24"/>
        </w:rPr>
        <w:t>Industrial</w:t>
      </w:r>
    </w:p>
    <w:p>
      <w:pPr>
        <w:pStyle w:val="Normal"/>
        <w:numPr>
          <w:ilvl w:val="0"/>
          <w:numId w:val="2"/>
        </w:numPr>
        <w:rPr>
          <w:sz w:val="24"/>
        </w:rPr>
      </w:pPr>
      <w:r>
        <w:rPr>
          <w:sz w:val="24"/>
        </w:rPr>
        <w:t>Feasibility of capacity sharing arrangements</w:t>
      </w:r>
    </w:p>
    <w:p>
      <w:pPr>
        <w:pStyle w:val="Normal"/>
        <w:rPr>
          <w:sz w:val="24"/>
        </w:rPr>
      </w:pPr>
      <w:r>
        <w:rPr>
          <w:sz w:val="24"/>
        </w:rPr>
      </w:r>
    </w:p>
    <w:p>
      <w:pPr>
        <w:pStyle w:val="Normal"/>
        <w:numPr>
          <w:ilvl w:val="0"/>
          <w:numId w:val="15"/>
        </w:numPr>
        <w:tabs>
          <w:tab w:val="clear" w:pos="720"/>
          <w:tab w:val="left" w:pos="2880" w:leader="none"/>
        </w:tabs>
        <w:rPr>
          <w:sz w:val="24"/>
        </w:rPr>
      </w:pPr>
      <w:r>
        <w:rPr>
          <w:sz w:val="24"/>
        </w:rPr>
        <w:t>Create inventory of incremental electric power projects, analyze and assess fuel requirements and generation output capability by pipeline</w:t>
      </w:r>
      <w:r>
        <w:rPr>
          <w:i/>
          <w:sz w:val="24"/>
        </w:rPr>
        <w:t>.  ISO-NE will provide inputs to electric generation capacity requirements.</w:t>
      </w:r>
      <w:r>
        <w:rPr>
          <w:sz w:val="24"/>
        </w:rPr>
        <w:t xml:space="preserve">  Include in Database.</w:t>
      </w:r>
    </w:p>
    <w:p>
      <w:pPr>
        <w:pStyle w:val="Normal"/>
        <w:numPr>
          <w:ilvl w:val="0"/>
          <w:numId w:val="6"/>
        </w:numPr>
        <w:rPr>
          <w:sz w:val="24"/>
        </w:rPr>
      </w:pPr>
      <w:r>
        <w:rPr>
          <w:sz w:val="24"/>
        </w:rPr>
        <w:t>Existing power projects</w:t>
      </w:r>
    </w:p>
    <w:p>
      <w:pPr>
        <w:pStyle w:val="Normal"/>
        <w:numPr>
          <w:ilvl w:val="0"/>
          <w:numId w:val="6"/>
        </w:numPr>
        <w:rPr>
          <w:sz w:val="24"/>
        </w:rPr>
      </w:pPr>
      <w:r>
        <w:rPr>
          <w:sz w:val="24"/>
        </w:rPr>
        <w:t>New power projects expected to be in operation by 2003, 2005.</w:t>
      </w:r>
    </w:p>
    <w:p>
      <w:pPr>
        <w:pStyle w:val="Normal"/>
        <w:ind w:start="1440" w:end="0"/>
        <w:rPr>
          <w:sz w:val="24"/>
        </w:rPr>
      </w:pPr>
      <w:r>
        <w:rPr>
          <w:sz w:val="24"/>
        </w:rPr>
        <w:t>(simple cycle, combined cycle, and others)</w:t>
      </w:r>
    </w:p>
    <w:p>
      <w:pPr>
        <w:pStyle w:val="Normal"/>
        <w:numPr>
          <w:ilvl w:val="0"/>
          <w:numId w:val="10"/>
        </w:numPr>
        <w:rPr>
          <w:i/>
          <w:i/>
          <w:sz w:val="24"/>
        </w:rPr>
      </w:pPr>
      <w:r>
        <w:rPr>
          <w:sz w:val="24"/>
        </w:rPr>
        <w:t xml:space="preserve">Under construction </w:t>
      </w:r>
    </w:p>
    <w:p>
      <w:pPr>
        <w:pStyle w:val="Normal"/>
        <w:numPr>
          <w:ilvl w:val="0"/>
          <w:numId w:val="10"/>
        </w:numPr>
        <w:rPr>
          <w:sz w:val="24"/>
        </w:rPr>
      </w:pPr>
      <w:r>
        <w:rPr>
          <w:sz w:val="24"/>
        </w:rPr>
        <w:t>Not yet under construction</w:t>
      </w:r>
    </w:p>
    <w:p>
      <w:pPr>
        <w:pStyle w:val="Normal"/>
        <w:numPr>
          <w:ilvl w:val="0"/>
          <w:numId w:val="12"/>
        </w:numPr>
        <w:rPr>
          <w:sz w:val="24"/>
        </w:rPr>
      </w:pPr>
      <w:r>
        <w:rPr>
          <w:sz w:val="24"/>
        </w:rPr>
        <w:t>Completely Permitted and Financed</w:t>
      </w:r>
    </w:p>
    <w:p>
      <w:pPr>
        <w:pStyle w:val="Normal"/>
        <w:numPr>
          <w:ilvl w:val="0"/>
          <w:numId w:val="12"/>
        </w:numPr>
        <w:rPr>
          <w:sz w:val="24"/>
        </w:rPr>
      </w:pPr>
      <w:r>
        <w:rPr>
          <w:sz w:val="24"/>
        </w:rPr>
        <w:t>Completely Permitted, but not yet Financed</w:t>
      </w:r>
    </w:p>
    <w:p>
      <w:pPr>
        <w:pStyle w:val="Normal"/>
        <w:numPr>
          <w:ilvl w:val="0"/>
          <w:numId w:val="12"/>
        </w:numPr>
        <w:rPr>
          <w:sz w:val="24"/>
        </w:rPr>
      </w:pPr>
      <w:r>
        <w:rPr>
          <w:sz w:val="24"/>
        </w:rPr>
        <w:t>Partially Permitted</w:t>
      </w:r>
    </w:p>
    <w:p>
      <w:pPr>
        <w:pStyle w:val="Normal"/>
        <w:numPr>
          <w:ilvl w:val="0"/>
          <w:numId w:val="12"/>
        </w:numPr>
        <w:rPr>
          <w:sz w:val="24"/>
        </w:rPr>
      </w:pPr>
      <w:r>
        <w:rPr>
          <w:sz w:val="24"/>
        </w:rPr>
        <w:t>Proposed</w:t>
      </w:r>
    </w:p>
    <w:p>
      <w:pPr>
        <w:pStyle w:val="Normal"/>
        <w:numPr>
          <w:ilvl w:val="0"/>
          <w:numId w:val="6"/>
        </w:numPr>
        <w:rPr>
          <w:sz w:val="24"/>
        </w:rPr>
      </w:pPr>
      <w:r>
        <w:rPr>
          <w:sz w:val="24"/>
        </w:rPr>
        <w:t>Potential for long term generation capacity attrition due to:</w:t>
      </w:r>
    </w:p>
    <w:p>
      <w:pPr>
        <w:pStyle w:val="BodyTextIndent2"/>
        <w:ind w:start="720" w:end="0"/>
        <w:rPr>
          <w:i/>
          <w:i/>
        </w:rPr>
      </w:pPr>
      <w:r>
        <w:rPr>
          <w:i/>
        </w:rPr>
        <w:t xml:space="preserve">ISO-NE to provide input assumptions; consultant will conduct analysis, </w:t>
      </w:r>
    </w:p>
    <w:p>
      <w:pPr>
        <w:pStyle w:val="BodyTextIndent2"/>
        <w:ind w:start="720" w:end="0"/>
        <w:rPr>
          <w:i/>
          <w:i/>
        </w:rPr>
      </w:pPr>
      <w:r>
        <w:rPr>
          <w:i/>
        </w:rPr>
        <w:t>identify implications and draw conclusions.</w:t>
      </w:r>
    </w:p>
    <w:p>
      <w:pPr>
        <w:pStyle w:val="Normal"/>
        <w:numPr>
          <w:ilvl w:val="0"/>
          <w:numId w:val="14"/>
        </w:numPr>
        <w:rPr>
          <w:sz w:val="24"/>
        </w:rPr>
      </w:pPr>
      <w:r>
        <w:rPr>
          <w:sz w:val="24"/>
        </w:rPr>
        <w:t>Nuclear power plant retirements:</w:t>
      </w:r>
    </w:p>
    <w:p>
      <w:pPr>
        <w:pStyle w:val="Normal"/>
        <w:numPr>
          <w:ilvl w:val="0"/>
          <w:numId w:val="8"/>
        </w:numPr>
        <w:rPr>
          <w:sz w:val="24"/>
        </w:rPr>
      </w:pPr>
      <w:r>
        <w:rPr>
          <w:sz w:val="24"/>
        </w:rPr>
        <w:t>as scheduled</w:t>
      </w:r>
    </w:p>
    <w:p>
      <w:pPr>
        <w:pStyle w:val="Normal"/>
        <w:numPr>
          <w:ilvl w:val="0"/>
          <w:numId w:val="8"/>
        </w:numPr>
        <w:rPr>
          <w:sz w:val="24"/>
        </w:rPr>
      </w:pPr>
      <w:r>
        <w:rPr>
          <w:sz w:val="24"/>
        </w:rPr>
        <w:t>candidates for early retirement</w:t>
      </w:r>
    </w:p>
    <w:p>
      <w:pPr>
        <w:pStyle w:val="Normal"/>
        <w:numPr>
          <w:ilvl w:val="0"/>
          <w:numId w:val="14"/>
        </w:numPr>
        <w:rPr>
          <w:sz w:val="24"/>
        </w:rPr>
      </w:pPr>
      <w:r>
        <w:rPr>
          <w:sz w:val="24"/>
        </w:rPr>
        <w:t>Inadequate or borderline unit performance due to:</w:t>
      </w:r>
    </w:p>
    <w:p>
      <w:pPr>
        <w:pStyle w:val="Normal"/>
        <w:numPr>
          <w:ilvl w:val="0"/>
          <w:numId w:val="16"/>
        </w:numPr>
        <w:rPr>
          <w:sz w:val="24"/>
        </w:rPr>
      </w:pPr>
      <w:r>
        <w:rPr>
          <w:sz w:val="24"/>
        </w:rPr>
        <w:t>environmental regulation requirements</w:t>
      </w:r>
    </w:p>
    <w:p>
      <w:pPr>
        <w:pStyle w:val="Normal"/>
        <w:numPr>
          <w:ilvl w:val="0"/>
          <w:numId w:val="16"/>
        </w:numPr>
        <w:rPr>
          <w:sz w:val="24"/>
        </w:rPr>
      </w:pPr>
      <w:r>
        <w:rPr>
          <w:sz w:val="24"/>
        </w:rPr>
        <w:t>improvements in cost-competitive efficiency standards</w:t>
      </w:r>
    </w:p>
    <w:p>
      <w:pPr>
        <w:pStyle w:val="Normal"/>
        <w:rPr>
          <w:sz w:val="24"/>
        </w:rPr>
      </w:pPr>
      <w:r>
        <w:rPr>
          <w:sz w:val="24"/>
        </w:rPr>
      </w:r>
    </w:p>
    <w:p>
      <w:pPr>
        <w:pStyle w:val="Normal"/>
        <w:numPr>
          <w:ilvl w:val="0"/>
          <w:numId w:val="15"/>
        </w:numPr>
        <w:tabs>
          <w:tab w:val="clear" w:pos="720"/>
          <w:tab w:val="left" w:pos="2880" w:leader="none"/>
        </w:tabs>
        <w:rPr>
          <w:sz w:val="24"/>
        </w:rPr>
      </w:pPr>
      <w:r>
        <w:rPr>
          <w:sz w:val="24"/>
        </w:rPr>
        <w:t>Develop High Natural Gas Demand Scenario for total natural gas capacity requirements (in MCF/BCF per day) by LDC’s (in accordance with 4(a) through (d)), and for total electric generation capacity demand (in MW and MMBTU).  Include in Database.</w:t>
      </w:r>
    </w:p>
    <w:p>
      <w:pPr>
        <w:pStyle w:val="Normal"/>
        <w:numPr>
          <w:ilvl w:val="0"/>
          <w:numId w:val="3"/>
        </w:numPr>
        <w:rPr>
          <w:sz w:val="24"/>
        </w:rPr>
      </w:pPr>
      <w:r>
        <w:rPr>
          <w:sz w:val="24"/>
        </w:rPr>
        <w:t>High Case is Peak Day - Winter and Summer.  Consistent with NEPOOL load forecast methodology to be supplied by ISO-NE.</w:t>
      </w:r>
    </w:p>
    <w:p>
      <w:pPr>
        <w:pStyle w:val="Normal"/>
        <w:numPr>
          <w:ilvl w:val="0"/>
          <w:numId w:val="3"/>
        </w:numPr>
        <w:rPr>
          <w:sz w:val="24"/>
        </w:rPr>
      </w:pPr>
      <w:r>
        <w:rPr>
          <w:sz w:val="24"/>
        </w:rPr>
        <w:t>Coincident Peak Day (Winter or Summer).</w:t>
      </w:r>
    </w:p>
    <w:p>
      <w:pPr>
        <w:pStyle w:val="Normal"/>
        <w:numPr>
          <w:ilvl w:val="0"/>
          <w:numId w:val="3"/>
        </w:numPr>
        <w:rPr>
          <w:sz w:val="24"/>
        </w:rPr>
      </w:pPr>
      <w:r>
        <w:rPr>
          <w:sz w:val="24"/>
        </w:rPr>
        <w:t>Identify each pipeline’s coincident peak, which may differ from other pipelines in the region.</w:t>
      </w:r>
    </w:p>
    <w:p>
      <w:pPr>
        <w:pStyle w:val="Normal"/>
        <w:numPr>
          <w:ilvl w:val="0"/>
          <w:numId w:val="3"/>
        </w:numPr>
        <w:rPr>
          <w:sz w:val="24"/>
        </w:rPr>
      </w:pPr>
      <w:r>
        <w:rPr>
          <w:sz w:val="24"/>
        </w:rPr>
        <w:t>Determine the coincident peak for all pipelines in the region.</w:t>
      </w:r>
    </w:p>
    <w:p>
      <w:pPr>
        <w:pStyle w:val="Normal"/>
        <w:ind w:start="540" w:end="0"/>
        <w:rPr>
          <w:sz w:val="24"/>
        </w:rPr>
      </w:pPr>
      <w:r>
        <w:rPr>
          <w:sz w:val="24"/>
        </w:rPr>
      </w:r>
    </w:p>
    <w:p>
      <w:pPr>
        <w:pStyle w:val="Normal"/>
        <w:numPr>
          <w:ilvl w:val="0"/>
          <w:numId w:val="15"/>
        </w:numPr>
        <w:tabs>
          <w:tab w:val="clear" w:pos="720"/>
          <w:tab w:val="left" w:pos="2880" w:leader="none"/>
        </w:tabs>
        <w:rPr>
          <w:sz w:val="24"/>
        </w:rPr>
      </w:pPr>
      <w:r>
        <w:rPr>
          <w:sz w:val="24"/>
        </w:rPr>
        <w:t>Prepare High Natural Gas Demand Scenario and additional sensitivities to be performed, and include in Database.  Scenario to include but not necessarily be limited to:</w:t>
      </w:r>
    </w:p>
    <w:p>
      <w:pPr>
        <w:pStyle w:val="Normal"/>
        <w:numPr>
          <w:ilvl w:val="0"/>
          <w:numId w:val="9"/>
        </w:numPr>
        <w:tabs>
          <w:tab w:val="clear" w:pos="720"/>
          <w:tab w:val="left" w:pos="1440" w:leader="none"/>
        </w:tabs>
        <w:ind w:hanging="720" w:start="1440" w:end="0"/>
        <w:rPr>
          <w:sz w:val="24"/>
        </w:rPr>
      </w:pPr>
      <w:r>
        <w:rPr>
          <w:sz w:val="24"/>
        </w:rPr>
        <w:t>Evaluate the impact of the loss of one or more major gas-fueled generating units on the pipeline infrastructure serving the unit(s).  Explain why the unit(s) was (were) chosen.</w:t>
      </w:r>
    </w:p>
    <w:p>
      <w:pPr>
        <w:pStyle w:val="Normal"/>
        <w:numPr>
          <w:ilvl w:val="0"/>
          <w:numId w:val="9"/>
        </w:numPr>
        <w:tabs>
          <w:tab w:val="clear" w:pos="720"/>
          <w:tab w:val="left" w:pos="1440" w:leader="none"/>
        </w:tabs>
        <w:ind w:hanging="720" w:start="1440" w:end="0"/>
        <w:rPr>
          <w:sz w:val="24"/>
        </w:rPr>
      </w:pPr>
      <w:r>
        <w:rPr>
          <w:sz w:val="24"/>
        </w:rPr>
        <w:t xml:space="preserve">Evaluate the loss of one or more major non-gas fueled electric generating units </w:t>
      </w:r>
      <w:r>
        <w:rPr>
          <w:i/>
          <w:sz w:val="24"/>
        </w:rPr>
        <w:t>(electric system contingency to be determined by ISO-NE)</w:t>
      </w:r>
      <w:r>
        <w:rPr>
          <w:sz w:val="24"/>
        </w:rPr>
        <w:t xml:space="preserve"> on gas-fueled units* synchronized to the electric system, with respect to changes in post electric system contingency gas requirements on the pipeline infrastructure serving those gas-fueled units*.</w:t>
      </w:r>
    </w:p>
    <w:p>
      <w:pPr>
        <w:pStyle w:val="Normal"/>
        <w:numPr>
          <w:ilvl w:val="0"/>
          <w:numId w:val="9"/>
        </w:numPr>
        <w:ind w:hanging="720" w:start="1440" w:end="0"/>
        <w:rPr>
          <w:sz w:val="24"/>
        </w:rPr>
      </w:pPr>
      <w:r>
        <w:rPr>
          <w:sz w:val="24"/>
        </w:rPr>
        <w:t>Pipeline capacity constraints:</w:t>
      </w:r>
    </w:p>
    <w:p>
      <w:pPr>
        <w:pStyle w:val="Normal"/>
        <w:numPr>
          <w:ilvl w:val="1"/>
          <w:numId w:val="9"/>
        </w:numPr>
        <w:tabs>
          <w:tab w:val="clear" w:pos="720"/>
          <w:tab w:val="left" w:pos="1890" w:leader="none"/>
        </w:tabs>
        <w:ind w:hanging="450" w:start="1890" w:end="0"/>
        <w:rPr>
          <w:sz w:val="24"/>
        </w:rPr>
      </w:pPr>
      <w:r>
        <w:rPr>
          <w:sz w:val="24"/>
        </w:rPr>
        <w:t>Planned outages</w:t>
      </w:r>
    </w:p>
    <w:p>
      <w:pPr>
        <w:pStyle w:val="Normal"/>
        <w:numPr>
          <w:ilvl w:val="1"/>
          <w:numId w:val="9"/>
        </w:numPr>
        <w:tabs>
          <w:tab w:val="clear" w:pos="720"/>
          <w:tab w:val="left" w:pos="1890" w:leader="none"/>
        </w:tabs>
        <w:ind w:hanging="450" w:start="1890" w:end="0"/>
        <w:rPr>
          <w:sz w:val="24"/>
        </w:rPr>
      </w:pPr>
      <w:r>
        <w:rPr>
          <w:sz w:val="24"/>
        </w:rPr>
        <w:t>Unplanned outages (Compressors out of service - largest unit at each station and selected tests for pipeline breaks)</w:t>
      </w:r>
    </w:p>
    <w:p>
      <w:pPr>
        <w:pStyle w:val="Normal"/>
        <w:rPr>
          <w:sz w:val="24"/>
        </w:rPr>
      </w:pPr>
      <w:r>
        <w:rPr>
          <w:sz w:val="24"/>
        </w:rPr>
      </w:r>
    </w:p>
    <w:p>
      <w:pPr>
        <w:pStyle w:val="Normal"/>
        <w:numPr>
          <w:ilvl w:val="0"/>
          <w:numId w:val="15"/>
        </w:numPr>
        <w:tabs>
          <w:tab w:val="clear" w:pos="720"/>
          <w:tab w:val="left" w:pos="2880" w:leader="none"/>
        </w:tabs>
        <w:ind w:hanging="540" w:start="540" w:end="0"/>
        <w:rPr>
          <w:sz w:val="24"/>
        </w:rPr>
      </w:pPr>
      <w:r>
        <w:rPr>
          <w:sz w:val="24"/>
        </w:rPr>
        <w:t>Recommend transient analyses:</w:t>
      </w:r>
    </w:p>
    <w:p>
      <w:pPr>
        <w:pStyle w:val="Normal"/>
        <w:numPr>
          <w:ilvl w:val="0"/>
          <w:numId w:val="13"/>
        </w:numPr>
        <w:rPr>
          <w:sz w:val="24"/>
        </w:rPr>
      </w:pPr>
      <w:r>
        <w:rPr>
          <w:sz w:val="24"/>
        </w:rPr>
        <w:t>Identify pipeline segment(s) where transient analysis is warranted.</w:t>
      </w:r>
    </w:p>
    <w:p>
      <w:pPr>
        <w:pStyle w:val="Normal"/>
        <w:numPr>
          <w:ilvl w:val="0"/>
          <w:numId w:val="13"/>
        </w:numPr>
        <w:rPr>
          <w:sz w:val="24"/>
        </w:rPr>
      </w:pPr>
      <w:r>
        <w:rPr>
          <w:sz w:val="24"/>
        </w:rPr>
        <w:t>Identify electric generation unit(s) impacting or impacted by these pipeline segments.</w:t>
        <w:br/>
      </w:r>
    </w:p>
    <w:p>
      <w:pPr>
        <w:pStyle w:val="Normal"/>
        <w:keepNext w:val="true"/>
        <w:numPr>
          <w:ilvl w:val="0"/>
          <w:numId w:val="15"/>
        </w:numPr>
        <w:tabs>
          <w:tab w:val="clear" w:pos="720"/>
          <w:tab w:val="left" w:pos="2880" w:leader="none"/>
        </w:tabs>
        <w:rPr>
          <w:sz w:val="24"/>
        </w:rPr>
      </w:pPr>
      <w:r>
        <w:rPr>
          <w:sz w:val="24"/>
        </w:rPr>
        <w:t>Summarize results of High Natural Gas Demand Scenario and sensitivity analyses:</w:t>
      </w:r>
    </w:p>
    <w:p>
      <w:pPr>
        <w:pStyle w:val="Normal"/>
        <w:numPr>
          <w:ilvl w:val="0"/>
          <w:numId w:val="5"/>
        </w:numPr>
        <w:rPr>
          <w:sz w:val="24"/>
        </w:rPr>
      </w:pPr>
      <w:r>
        <w:rPr>
          <w:sz w:val="24"/>
        </w:rPr>
        <w:t>Scenarios that are driven by electric generation and transmission constraints.</w:t>
      </w:r>
    </w:p>
    <w:p>
      <w:pPr>
        <w:pStyle w:val="Normal"/>
        <w:numPr>
          <w:ilvl w:val="0"/>
          <w:numId w:val="5"/>
        </w:numPr>
        <w:rPr>
          <w:sz w:val="24"/>
        </w:rPr>
      </w:pPr>
      <w:r>
        <w:rPr>
          <w:sz w:val="24"/>
        </w:rPr>
        <w:t>Scenarios in which electric system reliability is degraded by gas pipeline infrastructure constraints.</w:t>
      </w:r>
    </w:p>
    <w:p>
      <w:pPr>
        <w:pStyle w:val="Normal"/>
        <w:rPr>
          <w:sz w:val="24"/>
        </w:rPr>
      </w:pPr>
      <w:r>
        <w:rPr>
          <w:sz w:val="24"/>
        </w:rPr>
      </w:r>
    </w:p>
    <w:p>
      <w:pPr>
        <w:pStyle w:val="Normal"/>
        <w:numPr>
          <w:ilvl w:val="0"/>
          <w:numId w:val="15"/>
        </w:numPr>
        <w:tabs>
          <w:tab w:val="clear" w:pos="720"/>
          <w:tab w:val="left" w:pos="2880" w:leader="none"/>
        </w:tabs>
        <w:ind w:hanging="540" w:start="540" w:end="0"/>
        <w:rPr>
          <w:sz w:val="24"/>
        </w:rPr>
      </w:pPr>
      <w:r>
        <w:rPr>
          <w:sz w:val="24"/>
        </w:rPr>
        <w:t>Other observations, implications and recommendations:</w:t>
      </w:r>
    </w:p>
    <w:p>
      <w:pPr>
        <w:pStyle w:val="Normal"/>
        <w:numPr>
          <w:ilvl w:val="0"/>
          <w:numId w:val="4"/>
        </w:numPr>
        <w:rPr>
          <w:sz w:val="24"/>
        </w:rPr>
      </w:pPr>
      <w:r>
        <w:rPr>
          <w:sz w:val="24"/>
        </w:rPr>
        <w:t>Use of secondary firm and/or interruptible transportation.</w:t>
      </w:r>
    </w:p>
    <w:p>
      <w:pPr>
        <w:pStyle w:val="Normal"/>
        <w:numPr>
          <w:ilvl w:val="0"/>
          <w:numId w:val="4"/>
        </w:numPr>
        <w:rPr>
          <w:sz w:val="24"/>
        </w:rPr>
      </w:pPr>
      <w:r>
        <w:rPr>
          <w:sz w:val="24"/>
        </w:rPr>
        <w:t>Firm transportation but connected to a single pipeline.</w:t>
      </w:r>
    </w:p>
    <w:p>
      <w:pPr>
        <w:pStyle w:val="Normal"/>
        <w:numPr>
          <w:ilvl w:val="0"/>
          <w:numId w:val="4"/>
        </w:numPr>
        <w:rPr>
          <w:sz w:val="24"/>
        </w:rPr>
      </w:pPr>
      <w:r>
        <w:rPr>
          <w:sz w:val="24"/>
        </w:rPr>
        <w:t>Existing natural gas nomination cycle(s) vs. electric generation commitment cycle(s) and related issues.</w:t>
      </w:r>
    </w:p>
    <w:p>
      <w:pPr>
        <w:pStyle w:val="Normal"/>
        <w:numPr>
          <w:ilvl w:val="0"/>
          <w:numId w:val="4"/>
        </w:numPr>
        <w:rPr>
          <w:sz w:val="24"/>
        </w:rPr>
      </w:pPr>
      <w:r>
        <w:rPr>
          <w:sz w:val="24"/>
        </w:rPr>
        <w:t>LAI will conduct on a best efforts basis environmental due diligence on air permit restrictions governing the use of alternate fuel in Sections 5(b)(1) and (2), and will incorporate permit restrictions and applicability into Sections 6(a) and (b).  Include in Database.</w:t>
      </w:r>
    </w:p>
    <w:p>
      <w:pPr>
        <w:pStyle w:val="Normal"/>
        <w:rPr>
          <w:sz w:val="24"/>
        </w:rPr>
      </w:pPr>
      <w:r>
        <w:rPr>
          <w:sz w:val="24"/>
        </w:rPr>
      </w:r>
    </w:p>
    <w:p>
      <w:pPr>
        <w:pStyle w:val="Normal"/>
        <w:rPr>
          <w:sz w:val="24"/>
        </w:rPr>
      </w:pPr>
      <w:r>
        <w:rPr>
          <w:sz w:val="24"/>
        </w:rPr>
      </w:r>
    </w:p>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t xml:space="preserve"> </w:t>
    </w:r>
    <w:r>
      <w:rPr>
        <w:rStyle w:val="PageNumber"/>
      </w:rPr>
      <w:t>-</w:t>
    </w:r>
    <w:r>
      <mc:AlternateContent>
        <mc:Choice Requires="wps">
          <w:drawing>
            <wp:anchor behindDoc="0" distT="0" distB="0" distL="0" distR="0" simplePos="0" locked="0" layoutInCell="0" allowOverlap="1" relativeHeight="3">
              <wp:simplePos x="0" y="0"/>
              <wp:positionH relativeFrom="margin">
                <wp:align>right</wp:align>
              </wp:positionH>
              <wp:positionV relativeFrom="paragraph">
                <wp:posOffset>635</wp:posOffset>
              </wp:positionV>
              <wp:extent cx="14605" cy="146685"/>
              <wp:effectExtent l="0" t="0" r="0" b="0"/>
              <wp:wrapSquare wrapText="bothSides"/>
              <wp:docPr id="2" name="Frame1"/>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430.85pt;mso-position-horizontal:right;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rPr/>
    </w:pPr>
    <w:r>
      <w:rPr/>
    </w:r>
    <w:r>
      <mc:AlternateContent>
        <mc:Choice Requires="wps">
          <w:drawing>
            <wp:anchor behindDoc="0" distT="0" distB="0" distL="0" distR="0" simplePos="0" locked="0" layoutInCell="0" allowOverlap="1" relativeHeight="5">
              <wp:simplePos x="0" y="0"/>
              <wp:positionH relativeFrom="margin">
                <wp:align>right</wp:align>
              </wp:positionH>
              <wp:positionV relativeFrom="paragraph">
                <wp:posOffset>635</wp:posOffset>
              </wp:positionV>
              <wp:extent cx="14605" cy="146685"/>
              <wp:effectExtent l="0" t="0" r="0" b="0"/>
              <wp:wrapSquare wrapText="bothSides"/>
              <wp:docPr id="1" name="Frame2"/>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Head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430.85pt;mso-position-horizontal:right;mso-position-horizontal-relative:margin">
              <v:fill opacity="0f"/>
              <v:textbox inset="0in,0in,0in,0in">
                <w:txbxContent>
                  <w:p>
                    <w:pPr>
                      <w:pStyle w:val="Header"/>
                      <w:rPr>
                        <w:rStyle w:val="PageNumber"/>
                      </w:rPr>
                    </w:pPr>
                    <w:r>
                      <w:rPr/>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440"/>
        </w:tabs>
        <w:ind w:start="1440" w:hanging="720"/>
      </w:pPr>
      <w:rPr/>
    </w:lvl>
  </w:abstractNum>
  <w:abstractNum w:abstractNumId="3">
    <w:lvl w:ilvl="0">
      <w:start w:val="1"/>
      <w:numFmt w:val="lowerLetter"/>
      <w:lvlText w:val="%1."/>
      <w:lvlJc w:val="start"/>
      <w:pPr>
        <w:tabs>
          <w:tab w:val="num" w:pos="1440"/>
        </w:tabs>
        <w:ind w:start="1440" w:hanging="720"/>
      </w:pPr>
      <w:rPr/>
    </w:lvl>
  </w:abstractNum>
  <w:abstractNum w:abstractNumId="4">
    <w:lvl w:ilvl="0">
      <w:start w:val="1"/>
      <w:numFmt w:val="lowerLetter"/>
      <w:lvlText w:val="%1."/>
      <w:lvlJc w:val="start"/>
      <w:pPr>
        <w:tabs>
          <w:tab w:val="num" w:pos="1440"/>
        </w:tabs>
        <w:ind w:start="1440" w:hanging="720"/>
      </w:pPr>
      <w:rPr/>
    </w:lvl>
  </w:abstractNum>
  <w:abstractNum w:abstractNumId="5">
    <w:lvl w:ilvl="0">
      <w:start w:val="1"/>
      <w:numFmt w:val="lowerLetter"/>
      <w:lvlText w:val="%1."/>
      <w:lvlJc w:val="start"/>
      <w:pPr>
        <w:tabs>
          <w:tab w:val="num" w:pos="1440"/>
        </w:tabs>
        <w:ind w:start="1440" w:hanging="720"/>
      </w:pPr>
      <w:rPr/>
    </w:lvl>
  </w:abstractNum>
  <w:abstractNum w:abstractNumId="6">
    <w:lvl w:ilvl="0">
      <w:start w:val="1"/>
      <w:numFmt w:val="lowerLetter"/>
      <w:lvlText w:val="%1."/>
      <w:lvlJc w:val="start"/>
      <w:pPr>
        <w:tabs>
          <w:tab w:val="num" w:pos="1440"/>
        </w:tabs>
        <w:ind w:start="1440" w:hanging="720"/>
      </w:pPr>
      <w:rPr/>
    </w:lvl>
  </w:abstractNum>
  <w:abstractNum w:abstractNumId="7">
    <w:lvl w:ilvl="0">
      <w:start w:val="1"/>
      <w:numFmt w:val="lowerLetter"/>
      <w:lvlText w:val="%1."/>
      <w:lvlJc w:val="start"/>
      <w:pPr>
        <w:tabs>
          <w:tab w:val="num" w:pos="1440"/>
        </w:tabs>
        <w:ind w:start="1440" w:hanging="720"/>
      </w:pPr>
      <w:rPr/>
    </w:lvl>
  </w:abstractNum>
  <w:abstractNum w:abstractNumId="8">
    <w:lvl w:ilvl="0">
      <w:start w:val="1"/>
      <w:numFmt w:val="lowerLetter"/>
      <w:lvlText w:val="%1."/>
      <w:lvlJc w:val="start"/>
      <w:pPr>
        <w:tabs>
          <w:tab w:val="num" w:pos="2880"/>
        </w:tabs>
        <w:ind w:start="2880" w:hanging="720"/>
      </w:pPr>
      <w:rPr/>
    </w:lvl>
  </w:abstractNum>
  <w:abstractNum w:abstractNumId="9">
    <w:lvl w:ilvl="0">
      <w:start w:val="1"/>
      <w:numFmt w:val="lowerLetter"/>
      <w:lvlText w:val="%1."/>
      <w:lvlJc w:val="start"/>
      <w:pPr>
        <w:tabs>
          <w:tab w:val="num" w:pos="360"/>
        </w:tabs>
        <w:ind w:start="0" w:hanging="0"/>
      </w:pPr>
    </w:lvl>
    <w:lvl w:ilvl="1">
      <w:start w:val="1"/>
      <w:numFmt w:val="decimal"/>
      <w:lvlText w:val="%2."/>
      <w:lvlJc w:val="start"/>
      <w:pPr>
        <w:tabs>
          <w:tab w:val="num" w:pos="1080"/>
        </w:tabs>
        <w:ind w:start="720" w:hanging="0"/>
      </w:pPr>
    </w:lvl>
    <w:lvl w:ilvl="2">
      <w:start w:val="3"/>
      <w:numFmt w:val="decimal"/>
      <w:lvlText w:val="%3."/>
      <w:lvlJc w:val="start"/>
      <w:pPr>
        <w:tabs>
          <w:tab w:val="num" w:pos="1800"/>
        </w:tabs>
        <w:ind w:start="1440" w:hanging="0"/>
      </w:pPr>
    </w:lvl>
    <w:lvl w:ilvl="3">
      <w:start w:val="1"/>
      <w:numFmt w:val="lowerLetter"/>
      <w:lvlText w:val="%4)"/>
      <w:lvlJc w:val="start"/>
      <w:pPr>
        <w:tabs>
          <w:tab w:val="num" w:pos="2520"/>
        </w:tabs>
        <w:ind w:start="2160" w:hanging="0"/>
      </w:pPr>
    </w:lvl>
    <w:lvl w:ilvl="4">
      <w:start w:val="1"/>
      <w:numFmt w:val="decimal"/>
      <w:lvlText w:val="(%5)"/>
      <w:lvlJc w:val="start"/>
      <w:pPr>
        <w:tabs>
          <w:tab w:val="num" w:pos="3240"/>
        </w:tabs>
        <w:ind w:start="2880" w:hanging="0"/>
      </w:pPr>
    </w:lvl>
    <w:lvl w:ilvl="5">
      <w:start w:val="1"/>
      <w:numFmt w:val="lowerLetter"/>
      <w:lvlText w:val="(%6)"/>
      <w:lvlJc w:val="start"/>
      <w:pPr>
        <w:tabs>
          <w:tab w:val="num" w:pos="3960"/>
        </w:tabs>
        <w:ind w:start="3600" w:hanging="0"/>
      </w:pPr>
    </w:lvl>
    <w:lvl w:ilvl="6">
      <w:start w:val="1"/>
      <w:numFmt w:val="lowerRoman"/>
      <w:lvlText w:val="(%7)"/>
      <w:lvlJc w:val="start"/>
      <w:pPr>
        <w:tabs>
          <w:tab w:val="num" w:pos="5040"/>
        </w:tabs>
        <w:ind w:start="4320" w:hanging="0"/>
      </w:pPr>
    </w:lvl>
    <w:lvl w:ilvl="7">
      <w:start w:val="1"/>
      <w:numFmt w:val="lowerLetter"/>
      <w:lvlText w:val="(%8)"/>
      <w:lvlJc w:val="start"/>
      <w:pPr>
        <w:tabs>
          <w:tab w:val="num" w:pos="5400"/>
        </w:tabs>
        <w:ind w:start="5040" w:hanging="0"/>
      </w:pPr>
    </w:lvl>
    <w:lvl w:ilvl="8">
      <w:start w:val="1"/>
      <w:numFmt w:val="lowerRoman"/>
      <w:lvlText w:val="(%9)"/>
      <w:lvlJc w:val="start"/>
      <w:pPr>
        <w:tabs>
          <w:tab w:val="num" w:pos="6480"/>
        </w:tabs>
        <w:ind w:start="5760" w:hanging="0"/>
      </w:pPr>
    </w:lvl>
  </w:abstractNum>
  <w:abstractNum w:abstractNumId="10">
    <w:lvl w:ilvl="0">
      <w:start w:val="1"/>
      <w:numFmt w:val="decimal"/>
      <w:lvlText w:val="%1."/>
      <w:lvlJc w:val="start"/>
      <w:pPr>
        <w:tabs>
          <w:tab w:val="num" w:pos="2160"/>
        </w:tabs>
        <w:ind w:start="2160" w:hanging="720"/>
      </w:pPr>
      <w:rPr>
        <w:i w:val="false"/>
      </w:rPr>
    </w:lvl>
  </w:abstractNum>
  <w:abstractNum w:abstractNumId="11">
    <w:lvl w:ilvl="0">
      <w:start w:val="1"/>
      <w:numFmt w:val="decimal"/>
      <w:lvlText w:val="%1."/>
      <w:lvlJc w:val="start"/>
      <w:pPr>
        <w:tabs>
          <w:tab w:val="num" w:pos="1800"/>
        </w:tabs>
        <w:ind w:start="1800" w:hanging="360"/>
      </w:pPr>
      <w:rPr/>
    </w:lvl>
  </w:abstractNum>
  <w:abstractNum w:abstractNumId="12">
    <w:lvl w:ilvl="0">
      <w:start w:val="1"/>
      <w:numFmt w:val="lowerLetter"/>
      <w:lvlText w:val="%1."/>
      <w:lvlJc w:val="start"/>
      <w:pPr>
        <w:tabs>
          <w:tab w:val="num" w:pos="2880"/>
        </w:tabs>
        <w:ind w:start="2880" w:hanging="720"/>
      </w:pPr>
      <w:rPr/>
    </w:lvl>
  </w:abstractNum>
  <w:abstractNum w:abstractNumId="13">
    <w:lvl w:ilvl="0">
      <w:start w:val="1"/>
      <w:numFmt w:val="lowerLetter"/>
      <w:lvlText w:val="%1."/>
      <w:lvlJc w:val="start"/>
      <w:pPr>
        <w:tabs>
          <w:tab w:val="num" w:pos="1440"/>
        </w:tabs>
        <w:ind w:start="1440" w:hanging="900"/>
      </w:pPr>
      <w:rPr/>
    </w:lvl>
  </w:abstractNum>
  <w:abstractNum w:abstractNumId="14">
    <w:lvl w:ilvl="0">
      <w:start w:val="1"/>
      <w:numFmt w:val="decimal"/>
      <w:lvlText w:val="%1."/>
      <w:lvlJc w:val="start"/>
      <w:pPr>
        <w:tabs>
          <w:tab w:val="num" w:pos="2160"/>
        </w:tabs>
        <w:ind w:start="2160" w:hanging="720"/>
      </w:pPr>
      <w:rPr/>
    </w:lvl>
  </w:abstractNum>
  <w:abstractNum w:abstractNumId="15">
    <w:lvl w:ilvl="0">
      <w:start w:val="1"/>
      <w:numFmt w:val="decimal"/>
      <w:lvlText w:val="%1."/>
      <w:lvlJc w:val="start"/>
      <w:pPr>
        <w:tabs>
          <w:tab w:val="num" w:pos="360"/>
        </w:tabs>
        <w:ind w:start="360" w:hanging="360"/>
      </w:pPr>
    </w:lvl>
  </w:abstractNum>
  <w:abstractNum w:abstractNumId="16">
    <w:lvl w:ilvl="0">
      <w:start w:val="1"/>
      <w:numFmt w:val="lowerLetter"/>
      <w:lvlText w:val="%1."/>
      <w:lvlJc w:val="start"/>
      <w:pPr>
        <w:tabs>
          <w:tab w:val="num" w:pos="2880"/>
        </w:tabs>
        <w:ind w:start="288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val="bestFit" w:percent="2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end"/>
      <w:outlineLvl w:val="0"/>
    </w:pPr>
    <w:rPr>
      <w:b/>
      <w:sz w:val="24"/>
      <w:lang w:val="en-CA"/>
    </w:rPr>
  </w:style>
  <w:style w:type="paragraph" w:styleId="Heading2">
    <w:name w:val="heading 2"/>
    <w:basedOn w:val="Normal"/>
    <w:next w:val="Normal"/>
    <w:qFormat/>
    <w:pPr>
      <w:keepNext w:val="true"/>
      <w:numPr>
        <w:ilvl w:val="1"/>
        <w:numId w:val="1"/>
      </w:numPr>
      <w:jc w:val="center"/>
      <w:outlineLvl w:val="1"/>
    </w:pPr>
    <w:rPr>
      <w:b/>
      <w:sz w:val="32"/>
      <w:lang w:val="en-CA"/>
    </w:rPr>
  </w:style>
  <w:style w:type="paragraph" w:styleId="Heading3">
    <w:name w:val="heading 3"/>
    <w:basedOn w:val="Normal"/>
    <w:next w:val="Normal"/>
    <w:qFormat/>
    <w:pPr>
      <w:keepNext w:val="true"/>
      <w:numPr>
        <w:ilvl w:val="2"/>
        <w:numId w:val="1"/>
      </w:numPr>
      <w:outlineLvl w:val="2"/>
    </w:pPr>
    <w:rPr>
      <w:b/>
      <w:sz w:val="28"/>
      <w:lang w:val="en-CA"/>
    </w:rPr>
  </w:style>
  <w:style w:type="paragraph" w:styleId="Heading4">
    <w:name w:val="heading 4"/>
    <w:basedOn w:val="Normal"/>
    <w:next w:val="Normal"/>
    <w:qFormat/>
    <w:pPr>
      <w:keepNext w:val="true"/>
      <w:numPr>
        <w:ilvl w:val="3"/>
        <w:numId w:val="1"/>
      </w:numPr>
      <w:jc w:val="both"/>
      <w:outlineLvl w:val="3"/>
    </w:pPr>
    <w:rPr>
      <w:b/>
      <w:sz w:val="28"/>
    </w:rPr>
  </w:style>
  <w:style w:type="paragraph" w:styleId="Heading5">
    <w:name w:val="heading 5"/>
    <w:basedOn w:val="Normal"/>
    <w:next w:val="Normal"/>
    <w:qFormat/>
    <w:pPr>
      <w:keepNext w:val="true"/>
      <w:numPr>
        <w:ilvl w:val="4"/>
        <w:numId w:val="1"/>
      </w:numPr>
      <w:jc w:val="center"/>
      <w:outlineLvl w:val="4"/>
    </w:pPr>
    <w:rPr>
      <w:b/>
      <w:sz w:val="36"/>
      <w:u w:val="single"/>
    </w:rPr>
  </w:style>
  <w:style w:type="paragraph" w:styleId="Heading6">
    <w:name w:val="heading 6"/>
    <w:basedOn w:val="Normal"/>
    <w:next w:val="Normal"/>
    <w:qFormat/>
    <w:pPr>
      <w:keepNext w:val="true"/>
      <w:numPr>
        <w:ilvl w:val="5"/>
        <w:numId w:val="1"/>
      </w:numPr>
      <w:jc w:val="end"/>
      <w:outlineLvl w:val="5"/>
    </w:pPr>
    <w:rPr>
      <w:b/>
      <w:sz w:val="28"/>
      <w:u w:val="single"/>
    </w:rPr>
  </w:style>
  <w:style w:type="paragraph" w:styleId="Heading7">
    <w:name w:val="heading 7"/>
    <w:basedOn w:val="Normal"/>
    <w:next w:val="Normal"/>
    <w:qFormat/>
    <w:pPr>
      <w:keepNext w:val="true"/>
      <w:numPr>
        <w:ilvl w:val="6"/>
        <w:numId w:val="1"/>
      </w:numPr>
      <w:outlineLvl w:val="6"/>
    </w:pPr>
    <w:rPr>
      <w:b/>
      <w:color w:val="000000"/>
      <w:sz w:val="24"/>
      <w:lang w:eastAsia="en-US"/>
    </w:rPr>
  </w:style>
  <w:style w:type="character" w:styleId="WW8Num1z0">
    <w:name w:val="WW8Num1z0"/>
    <w:qFormat/>
    <w:rPr/>
  </w:style>
  <w:style w:type="character" w:styleId="WW8Num2z0">
    <w:name w:val="WW8Num2z0"/>
    <w:qFormat/>
    <w:rPr>
      <w:rFonts w:ascii="Symbol" w:hAnsi="Symbol" w:cs="Symbol"/>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rFonts w:ascii="Symbol" w:hAnsi="Symbol" w:cs="Symbol"/>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2z0">
    <w:name w:val="WW8Num12z0"/>
    <w:qFormat/>
    <w:rPr>
      <w:i w:val="false"/>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2z0">
    <w:name w:val="WW8Num22z0"/>
    <w:qFormat/>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tabs>
        <w:tab w:val="clear" w:pos="720"/>
        <w:tab w:val="left" w:pos="540" w:leader="none"/>
      </w:tabs>
      <w:jc w:val="center"/>
    </w:pPr>
    <w:rPr>
      <w:b/>
      <w:sz w:val="28"/>
    </w:rPr>
  </w:style>
  <w:style w:type="paragraph" w:styleId="BodyText">
    <w:name w:val="Body Text"/>
    <w:basedOn w:val="Normal"/>
    <w:pPr>
      <w:spacing w:before="0" w:after="120"/>
    </w:pPr>
    <w:rPr>
      <w:sz w:val="24"/>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720" w:start="720" w:end="0"/>
      <w:jc w:val="both"/>
    </w:pPr>
    <w:rPr>
      <w:b/>
      <w:sz w:val="28"/>
    </w:rPr>
  </w:style>
  <w:style w:type="paragraph" w:styleId="TOC1">
    <w:name w:val="toc 1"/>
    <w:basedOn w:val="Normal"/>
    <w:next w:val="Normal"/>
    <w:pPr>
      <w:spacing w:before="360" w:after="0"/>
    </w:pPr>
    <w:rPr>
      <w:rFonts w:ascii="Arial" w:hAnsi="Arial" w:cs="Arial"/>
      <w:b/>
      <w:caps/>
      <w:sz w:val="24"/>
    </w:rPr>
  </w:style>
  <w:style w:type="paragraph" w:styleId="TOC2">
    <w:name w:val="toc 2"/>
    <w:basedOn w:val="Normal"/>
    <w:next w:val="Normal"/>
    <w:pPr>
      <w:spacing w:before="240" w:after="0"/>
    </w:pPr>
    <w:rPr>
      <w:b/>
    </w:rPr>
  </w:style>
  <w:style w:type="paragraph" w:styleId="TOC3">
    <w:name w:val="toc 3"/>
    <w:basedOn w:val="Normal"/>
    <w:next w:val="Normal"/>
    <w:pPr>
      <w:ind w:hanging="0" w:start="200" w:end="0"/>
    </w:pPr>
    <w:rPr/>
  </w:style>
  <w:style w:type="paragraph" w:styleId="TOC4">
    <w:name w:val="toc 4"/>
    <w:basedOn w:val="Normal"/>
    <w:next w:val="Normal"/>
    <w:pPr>
      <w:ind w:hanging="0" w:start="400" w:end="0"/>
    </w:pPr>
    <w:rPr/>
  </w:style>
  <w:style w:type="paragraph" w:styleId="TOC5">
    <w:name w:val="toc 5"/>
    <w:basedOn w:val="Normal"/>
    <w:next w:val="Normal"/>
    <w:pPr>
      <w:ind w:hanging="0" w:start="600" w:end="0"/>
    </w:pPr>
    <w:rPr/>
  </w:style>
  <w:style w:type="paragraph" w:styleId="TOC6">
    <w:name w:val="toc 6"/>
    <w:basedOn w:val="Normal"/>
    <w:next w:val="Normal"/>
    <w:pPr>
      <w:ind w:hanging="0" w:start="800" w:end="0"/>
    </w:pPr>
    <w:rPr/>
  </w:style>
  <w:style w:type="paragraph" w:styleId="TOC7">
    <w:name w:val="toc 7"/>
    <w:basedOn w:val="Normal"/>
    <w:next w:val="Normal"/>
    <w:pPr>
      <w:ind w:hanging="0" w:start="1000" w:end="0"/>
    </w:pPr>
    <w:rPr/>
  </w:style>
  <w:style w:type="paragraph" w:styleId="TOC8">
    <w:name w:val="toc 8"/>
    <w:basedOn w:val="Normal"/>
    <w:next w:val="Normal"/>
    <w:pPr>
      <w:ind w:hanging="0" w:start="1200" w:end="0"/>
    </w:pPr>
    <w:rPr/>
  </w:style>
  <w:style w:type="paragraph" w:styleId="TOC9">
    <w:name w:val="toc 9"/>
    <w:basedOn w:val="Normal"/>
    <w:next w:val="Normal"/>
    <w:pPr>
      <w:ind w:hanging="0" w:start="1400" w:end="0"/>
    </w:pPr>
    <w:rPr/>
  </w:style>
  <w:style w:type="paragraph" w:styleId="BodyTextIndent2">
    <w:name w:val="Body Text Indent 2"/>
    <w:basedOn w:val="Normal"/>
    <w:qFormat/>
    <w:pPr>
      <w:ind w:firstLine="720" w:start="0" w:end="0"/>
    </w:pPr>
    <w:rPr>
      <w:sz w:val="24"/>
    </w:rPr>
  </w:style>
  <w:style w:type="paragraph" w:styleId="BodyTextIndent3">
    <w:name w:val="Body Text Indent 3"/>
    <w:basedOn w:val="Normal"/>
    <w:qFormat/>
    <w:pPr>
      <w:ind w:firstLine="720" w:start="720" w:end="0"/>
    </w:pPr>
    <w:rPr>
      <w:sz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363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2000-07-06T15:50:00Z</dcterms:created>
  <dc:creator>Patricia A. White</dc:creator>
  <dc:description/>
  <dc:language>en-CA</dc:language>
  <cp:lastModifiedBy>Mark Babula</cp:lastModifiedBy>
  <cp:lastPrinted>2000-07-20T13:42:00Z</cp:lastPrinted>
  <dcterms:modified xsi:type="dcterms:W3CDTF">2000-08-18T08:37:00Z</dcterms:modified>
  <cp:revision>165</cp:revision>
  <dc:subject/>
  <dc:title>APPENDIX A</dc:title>
</cp:coreProperties>
</file>