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February 22, 2000</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sz w:val="24"/>
        </w:rPr>
        <w:t>Section 2.1 of the Gas Conversion Agreement between Enron Compression Services Company ("ECS") and Transwestern Pipeline Company ("</w:t>
      </w:r>
      <w:r>
        <w:rPr>
          <w:b/>
          <w:sz w:val="24"/>
          <w:u w:val="single"/>
        </w:rPr>
        <w:t>TW</w:t>
      </w:r>
      <w:r>
        <w:rPr>
          <w:b/>
          <w:sz w:val="24"/>
        </w:rPr>
        <w:t>") dated as of October 18, 1999") (the "</w:t>
      </w:r>
      <w:r>
        <w:rPr>
          <w:b/>
          <w:sz w:val="24"/>
          <w:u w:val="single"/>
        </w:rPr>
        <w:t>GCA</w:t>
      </w:r>
      <w:r>
        <w:rPr>
          <w:b/>
          <w:sz w:val="24"/>
        </w:rPr>
        <w: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In accordance with Section 2.1 of the GCA, TW and ECS agree that TW has received acceptable FERC authorization of the Gallup Expansion and hereby directs ECS to enter into agreements as necessary to lock in the ten year forward sale price (the "</w:t>
      </w:r>
      <w:r>
        <w:rPr>
          <w:u w:val="single"/>
        </w:rPr>
        <w:t>Lock Price</w:t>
      </w:r>
      <w:r>
        <w:rPr/>
        <w:t>") of the Fuel Payment (as such term is defined in the GCA).  All capitalized terms not defined herein shall have the meaning set forth in the GCA.</w:t>
      </w:r>
    </w:p>
    <w:p>
      <w:pPr>
        <w:pStyle w:val="BodyTextIndent"/>
        <w:spacing w:lineRule="auto" w:line="240"/>
        <w:ind w:hanging="0" w:start="0" w:end="0"/>
        <w:rPr/>
      </w:pPr>
      <w:r>
        <w:rPr/>
      </w:r>
    </w:p>
    <w:p>
      <w:pPr>
        <w:pStyle w:val="BodyTextIndent"/>
        <w:spacing w:lineRule="auto" w:line="240"/>
        <w:ind w:hanging="0" w:start="0" w:end="0"/>
        <w:rPr/>
      </w:pPr>
      <w:r>
        <w:rPr/>
        <w:t xml:space="preserve">TW and ECS agree that in accordance with Section 2.2 of the GCA, the Lock Price will result in conversion of the Annual Charge Portion into an Annual Charge Fuel Payment of 79,020 MMBtu per month.   </w:t>
      </w:r>
    </w:p>
    <w:p>
      <w:pPr>
        <w:pStyle w:val="BodyTextIndent"/>
        <w:spacing w:lineRule="auto" w:line="240"/>
        <w:ind w:hanging="0" w:start="0" w:end="0"/>
        <w:rPr/>
      </w:pPr>
      <w:r>
        <w:rPr/>
      </w:r>
    </w:p>
    <w:p>
      <w:pPr>
        <w:pStyle w:val="BodyTextIndent"/>
        <w:spacing w:lineRule="auto" w:line="240"/>
        <w:ind w:hanging="0" w:start="0" w:end="0"/>
        <w:rPr/>
      </w:pPr>
      <w:r>
        <w:rPr/>
        <w:t>TW and ECS further agree that in accordance with Section 2.3 of the GCA, the Lock Price will result in a Compression Services Charge Fuel Payment equal to the aggregate amount of Shaft Energy delivered during the second month preceding the month for which the Compression Services Charge Fuel Payment is being calculated times 5,738 Btu/hp*hr.</w:t>
      </w:r>
    </w:p>
    <w:p>
      <w:pPr>
        <w:pStyle w:val="BodyTextIndent"/>
        <w:spacing w:lineRule="auto" w:line="240"/>
        <w:ind w:hanging="0" w:start="0" w:end="0"/>
        <w:rPr/>
      </w:pPr>
      <w:r>
        <w:rPr/>
      </w:r>
    </w:p>
    <w:p>
      <w:pPr>
        <w:pStyle w:val="BodyTextIndent"/>
        <w:spacing w:lineRule="auto" w:line="240"/>
        <w:ind w:hanging="0" w:start="0" w:end="0"/>
        <w:rPr/>
      </w:pPr>
      <w:r>
        <w:rPr/>
        <w:t>Except as supplemented or modified in this letter, all other terms and conditions of the GCA shall be and remain in full force and effect.</w:t>
      </w:r>
    </w:p>
    <w:p>
      <w:pPr>
        <w:pStyle w:val="BodyTextIndent"/>
        <w:spacing w:lineRule="auto" w:line="240"/>
        <w:ind w:hanging="0" w:start="0" w:end="0"/>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TRANSWESTERN PIPELINE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pStyle w:val="BodyText"/>
        <w:jc w:val="both"/>
        <w:rPr/>
      </w:pPr>
      <w:r>
        <w:rPr/>
      </w:r>
    </w:p>
    <w:p>
      <w:pPr>
        <w:pStyle w:val="BodyText"/>
        <w:jc w:val="both"/>
        <w:rPr/>
      </w:pPr>
      <w:r>
        <w:rPr/>
      </w:r>
    </w:p>
    <w:p>
      <w:pPr>
        <w:pStyle w:val="BodyText"/>
        <w:jc w:val="both"/>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2000-02-23T11:35:00Z</dcterms:created>
  <dc:creator>gnemec</dc:creator>
  <dc:description/>
  <dc:language>en-CA</dc:language>
  <cp:lastModifiedBy>gnemec</cp:lastModifiedBy>
  <cp:lastPrinted>2000-02-23T08:41:00Z</cp:lastPrinted>
  <dcterms:modified xsi:type="dcterms:W3CDTF">2000-02-23T12:16:00Z</dcterms:modified>
  <cp:revision>19</cp:revision>
  <dc:subject/>
  <dc:title>April 9, 1996</dc:title>
</cp:coreProperties>
</file>