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CenterBold"/>
        <w:spacing w:before="0" w:after="0"/>
        <w:rPr/>
      </w:pPr>
      <w:r>
        <w:rPr/>
        <w:t>BEFORE THE PUBLIC UTILITIES COMMISSION</w:t>
        <w:br/>
        <w:t>OF THE STATE OF CALIFORNIA</w:t>
      </w:r>
    </w:p>
    <w:p>
      <w:pPr>
        <w:pStyle w:val="Normal"/>
        <w:rPr/>
      </w:pPr>
      <w:r>
        <w:rPr/>
      </w:r>
    </w:p>
    <w:p>
      <w:pPr>
        <w:pStyle w:val="Normal"/>
        <w:rPr/>
      </w:pPr>
      <w:r>
        <w:rPr/>
      </w:r>
    </w:p>
    <w:tbl>
      <w:tblPr>
        <w:tblW w:w="9468" w:type="dxa"/>
        <w:jc w:val="start"/>
        <w:tblInd w:w="0" w:type="dxa"/>
        <w:tblLayout w:type="fixed"/>
        <w:tblCellMar>
          <w:top w:w="0" w:type="dxa"/>
          <w:start w:w="108" w:type="dxa"/>
          <w:bottom w:w="0" w:type="dxa"/>
          <w:end w:w="108" w:type="dxa"/>
        </w:tblCellMar>
      </w:tblPr>
      <w:tblGrid>
        <w:gridCol w:w="4968"/>
        <w:gridCol w:w="270"/>
        <w:gridCol w:w="4230"/>
      </w:tblGrid>
      <w:tr>
        <w:trPr/>
        <w:tc>
          <w:tcPr>
            <w:tcW w:w="4968" w:type="dxa"/>
            <w:tcBorders>
              <w:bottom w:val="single" w:sz="4" w:space="0" w:color="000000"/>
            </w:tcBorders>
          </w:tcPr>
          <w:p>
            <w:pPr>
              <w:pStyle w:val="Normal"/>
              <w:rPr/>
            </w:pPr>
            <w:r>
              <w:rPr/>
              <w:t>Investigation on the Commission’s Own Motion to Consider the Costs and Benefits of Various Promising Revisions to the Regulatory and Market Structure Governing California’s Natural Gas Industry and to Report to the California Legislature on the Commission’s Findings</w:t>
            </w:r>
          </w:p>
          <w:p>
            <w:pPr>
              <w:pStyle w:val="Normal"/>
              <w:rPr/>
            </w:pPr>
            <w:r>
              <w:rPr/>
            </w:r>
          </w:p>
        </w:tc>
        <w:tc>
          <w:tcPr>
            <w:tcW w:w="270" w:type="dxa"/>
            <w:tcBorders/>
          </w:tcPr>
          <w:p>
            <w:pPr>
              <w:pStyle w:val="Normal"/>
              <w:rPr/>
            </w:pPr>
            <w:r>
              <w:rPr/>
              <w:t>)))))))</w:t>
            </w:r>
          </w:p>
        </w:tc>
        <w:tc>
          <w:tcPr>
            <w:tcW w:w="4230" w:type="dxa"/>
            <w:tcBorders/>
            <w:vAlign w:val="center"/>
          </w:tcPr>
          <w:p>
            <w:pPr>
              <w:pStyle w:val="Normal"/>
              <w:jc w:val="center"/>
              <w:rPr/>
            </w:pPr>
            <w:r>
              <w:rPr/>
              <w:t>I. 99-07-003</w:t>
            </w:r>
          </w:p>
        </w:tc>
      </w:tr>
    </w:tbl>
    <w:p>
      <w:pPr>
        <w:pStyle w:val="Normal"/>
        <w:rPr/>
      </w:pPr>
      <w:r>
        <w:rPr/>
      </w:r>
    </w:p>
    <w:p>
      <w:pPr>
        <w:pStyle w:val="Heading"/>
        <w:rPr>
          <w:lang w:eastAsia="en-US"/>
        </w:rPr>
      </w:pPr>
      <w:r>
        <w:rPr>
          <w:lang w:eastAsia="en-US"/>
        </w:rPr>
        <w:t>REPLY BRIEF OF CALPINE CORPORATION</w:t>
      </w:r>
    </w:p>
    <w:p>
      <w:pPr>
        <w:pStyle w:val="Normal"/>
        <w:rPr>
          <w:lang w:eastAsia="en-US"/>
        </w:rPr>
      </w:pPr>
      <w:r>
        <w:rPr>
          <w:lang w:eastAsia="en-US"/>
        </w:rPr>
      </w:r>
    </w:p>
    <w:p>
      <w:pPr>
        <w:pStyle w:val="Normal"/>
        <w:rPr/>
      </w:pPr>
      <w:r>
        <w:rPr/>
      </w:r>
    </w:p>
    <w:p>
      <w:pPr>
        <w:pStyle w:val="DWTNorm"/>
        <w:rPr/>
      </w:pPr>
      <w:r>
        <w:rPr/>
        <w:t>Pursuant to Rule 75 of the California Public Utilities Commission’s (“Commission”) Rules of Practice and Procedure, and the schedule adopted by Administrative Law Judge Biren, Calpine Corporation (“Calpine”) hereby replies to the joint opening brief filed by Southern California Gas Company (“SoCalGas”) and San Diego Gas and Electric Company (“SDG&amp;E”) and the opening brief filed by The Utility Reform Network (“TURN”) on the settlement filed by SoCalGas and other parties on April 17, 2000 (“Comprehensive Settlement Agreement”).  Calpine is a signatory to the Comprehensive Settlement Agreement.  Calpine submits this reply brief for the limited purpose of responding to statements and assertions in the SoCalGas/SDG&amp;E and TURN opening briefs regarding the provisions of the Comprehensive Settlement Agreement with respect to the agreement reached by the parties on the issue of potential future direct connection to SoCalGas’ backbone transmission system.</w:t>
      </w:r>
      <w:r>
        <w:rPr>
          <w:rStyle w:val="FootnoteCharacters"/>
          <w:rStyle w:val="FootnoteReference"/>
        </w:rPr>
        <w:footnoteReference w:id="2"/>
      </w:r>
    </w:p>
    <w:p>
      <w:pPr>
        <w:pStyle w:val="DWTNorm"/>
        <w:rPr/>
      </w:pPr>
      <w:r>
        <w:rPr/>
        <w:t>The Comprehensive Settlement Agreement clearly encapsulates the settling parties’ intent to defer the issue of direct connection for future negotiation or action by the Commission.  Further, no evidence on the costs and benefits of such direct connections has been presented in this proceeding.  Therefore, the Commission should not reach any conclusion regarding direct connection in this proceeding, but should adopt the Comprehensive Settlement Agreement.</w:t>
      </w:r>
    </w:p>
    <w:p>
      <w:pPr>
        <w:pStyle w:val="OutHead1"/>
        <w:numPr>
          <w:ilvl w:val="0"/>
          <w:numId w:val="2"/>
        </w:numPr>
        <w:ind w:hanging="0" w:start="0"/>
        <w:rPr/>
      </w:pPr>
      <w:r>
        <w:rPr/>
        <w:t>THE COMPREHENSIVE SETTLEMENT AGREEMENT IS CLEAR THAT DIRECT INTERCONNECTION IS NOT ADDRESSED</w:t>
      </w:r>
    </w:p>
    <w:p>
      <w:pPr>
        <w:pStyle w:val="DWTNorm"/>
        <w:rPr/>
      </w:pPr>
      <w:r>
        <w:rPr/>
        <w:t xml:space="preserve">The Comprehensive Settlement Agreement unbundles the SoCalGas system by separating the costs and services of backbone transmission, local transmission, storage and balancing.  The Comprehensive Settlement Agreement states that it “does not address the issue of whether customers can directly connect to SoCalGas’ backbone transmission system, and if they do so, whether they must pay any or all of SoCalGas’ charges other than charges for backbone transmission service.”  Comprehensive Settlement Agreement at § 1.1.3.10.  The Comprehensive Settlement Agreement explicitly states that the issue of direct connection to the backbone system and the attending rate issues are “left to the Commission to decide if and when it chooses to do so” and no party is prevented from “seeking or opposing any resolution of these issues by the Commission.”  </w:t>
      </w:r>
      <w:r>
        <w:rPr>
          <w:i/>
        </w:rPr>
        <w:t>Id</w:t>
      </w:r>
      <w:r>
        <w:rPr/>
        <w:t>.</w:t>
      </w:r>
      <w:r>
        <w:rPr>
          <w:i/>
        </w:rPr>
        <w:t xml:space="preserve">  </w:t>
      </w:r>
      <w:r>
        <w:rPr/>
        <w:t>Section 1.1.3.10, like other sections of the Comprehensive Settlement Agreement, reflects a specific compromise reached between the parties and indicates the clear intent of the settlement parties that the issue of direct interconnection is outside the parameters of the Comprehensive Settlement Agreement.</w:t>
      </w:r>
    </w:p>
    <w:p>
      <w:pPr>
        <w:pStyle w:val="OutHead1"/>
        <w:numPr>
          <w:ilvl w:val="0"/>
          <w:numId w:val="2"/>
        </w:numPr>
        <w:ind w:hanging="0" w:start="0"/>
        <w:rPr/>
      </w:pPr>
      <w:r>
        <w:rPr/>
        <w:t>THE COMMISSION SHOULD DISREGARD THE COMMENTS OF SOCALGAS/SDG&amp;E AND TURN REGARDING DIRECT CONNECTION</w:t>
      </w:r>
    </w:p>
    <w:p>
      <w:pPr>
        <w:pStyle w:val="OutHead2"/>
        <w:numPr>
          <w:ilvl w:val="1"/>
          <w:numId w:val="3"/>
        </w:numPr>
        <w:ind w:hanging="0" w:start="0"/>
        <w:rPr/>
      </w:pPr>
      <w:r>
        <w:rPr/>
        <w:t>SoCalGas/SDG&amp;E’s Comments Do Not Proscribe Direct Connection to the Backbone</w:t>
      </w:r>
    </w:p>
    <w:p>
      <w:pPr>
        <w:pStyle w:val="DWTNorm"/>
        <w:rPr/>
      </w:pPr>
      <w:r>
        <w:rPr/>
        <w:t xml:space="preserve">Despite the express language of the Comprehensive Settlement Agreement, SoCalGas/SDG&amp;E state:  “[l]ike the PG&amp;E system, under the Comprehensive Settlement the SoCalGas local transmission system remains bundled in rates.”  SoCalGas/SDG&amp;E Opening Brief at 10.  SoCalGas/SDG&amp;E further note that “[t]he SoCalGas rights are from a specific receipt point to any interconnection of the backbone transmission system with the local transmission system or distribution facilities, or with storage.”  </w:t>
      </w:r>
      <w:r>
        <w:rPr>
          <w:i/>
        </w:rPr>
        <w:t>Id.</w:t>
      </w:r>
      <w:r>
        <w:rPr/>
        <w:t>, at 12.  This language should not be inferred to mean that the Comprehensive Settlement Agreement proscribes deliveries to a customer directly from the backbone or deliveries made at other interconnection points such as those between PG&amp;E or interstate pipelines.  The Comprehensive Settlement Agreement clearly reserves the issue of direct connection and any attendant rate issues to further negotiation or a separate proceeding.  Therefore, SoCalGas/SDG&amp;E’s brief should not be interpreted as precluding a customer from seeking access to any one or a combination of unbundled services in the future, including firm transportation on the backbone system exclusively.</w:t>
      </w:r>
    </w:p>
    <w:p>
      <w:pPr>
        <w:pStyle w:val="OutHead2"/>
        <w:numPr>
          <w:ilvl w:val="1"/>
          <w:numId w:val="3"/>
        </w:numPr>
        <w:ind w:hanging="0" w:start="0"/>
        <w:rPr/>
      </w:pPr>
      <w:r>
        <w:rPr/>
        <w:t>TURN’s Discussion of Direct Connection Issues Is Unsupported by Any Evidence in this Proceeding</w:t>
      </w:r>
    </w:p>
    <w:p>
      <w:pPr>
        <w:pStyle w:val="DWTNorm"/>
        <w:rPr/>
      </w:pPr>
      <w:r>
        <w:rPr/>
        <w:t xml:space="preserve">In its opening brief, TURN asserts that deregulation poses the “risk” of utility stranded costs and cost shifting.  TURN recognizes that the Comprehensive Settlement Agreement “explicitly declines to address the question of whether customers who connect to the backbone system could bypass the costs of local transmission or distribution.”  TURN Opening Brief at 39.  Nevertheless, TURN concludes that “[i]f cost bypass is allowed, the result is to shift more of the system fixed costs onto remaining customers.”  </w:t>
      </w:r>
      <w:r>
        <w:rPr>
          <w:i/>
        </w:rPr>
        <w:t>Id.,</w:t>
      </w:r>
      <w:r>
        <w:rPr/>
        <w:t xml:space="preserve"> at 39-40.</w:t>
      </w:r>
    </w:p>
    <w:p>
      <w:pPr>
        <w:pStyle w:val="DWTNorm"/>
        <w:rPr/>
      </w:pPr>
      <w:r>
        <w:rPr/>
        <w:t>TURN draws this conclusion without the benefit of any evidence to support its position.  Absent TURN’s passing statements regarding the likelihood of parties seeking bypass under the Comprehensive Settlement Agreement versus the Post-Interim Settlement</w:t>
      </w:r>
      <w:r>
        <w:rPr>
          <w:rStyle w:val="FootnoteCharacters"/>
          <w:rStyle w:val="FootnoteReference"/>
        </w:rPr>
        <w:footnoteReference w:id="3"/>
      </w:r>
      <w:r>
        <w:rPr/>
        <w:t xml:space="preserve"> and its unsupported statements in its opening brief, no party has presented any factual evidence on the issue of direct connection.  Therefore, there is no evidence or substantive testimony regarding the costs associated with direct connection of new or existing load to the unbundled backbone system, no evidence on the issue of what, if any, costs would be stranded, what amount of throughput could or could not avoid the SoCalGas local transmission system, what load is already directly connected to the backbone, or whether direct interconnection might increase SoCalGas’ throughput by encouraging new load.  During the evidentiary hearings, TURN’s Michel Florio simply postulated that there would be increased risk associated with the unbundling of the SoCalGas system while offering no supporting facts to quantify this asserted risk.  Further, TURN cites no evidence to support its conclusion that core customers’ share of local transportation costs would increase if the backbone is unbundled.  As there is no evidence before this Commission regarding the costs </w:t>
      </w:r>
      <w:r>
        <w:rPr>
          <w:i/>
        </w:rPr>
        <w:t>or benefits</w:t>
      </w:r>
      <w:r>
        <w:rPr/>
        <w:t xml:space="preserve"> of direct connection to SoCalGas’ backbone system, the Commission should not reach any conclusions precluding direct connection to the backbone in this proceeding.</w:t>
      </w:r>
    </w:p>
    <w:p>
      <w:pPr>
        <w:pStyle w:val="DWTNorm"/>
        <w:rPr/>
      </w:pPr>
      <w:r>
        <w:rPr/>
        <w:t>TURN also expresses concern for future potential bypass of the SoCalGas system by interstate pipelines.  TURN Opening Brief at 40-41.  TURN concludes that bypass by interstate pipeline may result in potentially higher costs to residual ratepayers.  TURN fails to take into account the impact the imposition of unnecessary costs for unused services, such as local transmission costs for direct connection customers, would have on the likelihood of customers bypassing SoCalGas in favor of interstate pipelines.  The risk of bypass by interstate pipelines might well result in greater harm to the remaining residual customers than the perceived risk of bypass of the local transmission system.  In any event, no evidence is before the Commission on this issue.</w:t>
      </w:r>
    </w:p>
    <w:p>
      <w:pPr>
        <w:pStyle w:val="OutHead1"/>
        <w:numPr>
          <w:ilvl w:val="0"/>
          <w:numId w:val="2"/>
        </w:numPr>
        <w:ind w:hanging="0" w:start="0"/>
        <w:rPr/>
      </w:pPr>
      <w:r>
        <w:rPr/>
        <w:t>CONCLUSION</w:t>
      </w:r>
    </w:p>
    <w:p>
      <w:pPr>
        <w:pStyle w:val="DWTNorm"/>
        <w:rPr/>
      </w:pPr>
      <w:r>
        <w:rPr/>
        <w:t>The Commission should adopt the Comprehensive Settlement Agreement and reject TURN’s speculative conclusions regarding the impact of the Comprehensive Settlement Agreement on direct connection to the backbone.  TURN’s conclusions are without merit and unsupported by any evidence presented in this proceeding.  The Commission should also refrain from interpreting SoCalGas/SDG&amp;E’s brief on “bundled” local transmission as precluding direct interconnection to the backbone pipeline.</w:t>
      </w:r>
    </w:p>
    <w:p>
      <w:pPr>
        <w:pStyle w:val="DWTNorm"/>
        <w:rPr/>
      </w:pPr>
      <w:r>
        <w:rPr/>
        <w:t>DATED:  July 31, 2000</w:t>
      </w:r>
    </w:p>
    <w:p>
      <w:pPr>
        <w:pStyle w:val="Normal"/>
        <w:spacing w:before="0" w:after="240"/>
        <w:ind w:start="4320" w:end="0"/>
        <w:rPr/>
      </w:pPr>
      <w:r>
        <w:rPr/>
        <w:t>Respectfully submitted,</w:t>
      </w:r>
    </w:p>
    <w:tbl>
      <w:tblPr>
        <w:tblW w:w="9468" w:type="dxa"/>
        <w:jc w:val="start"/>
        <w:tblInd w:w="0" w:type="dxa"/>
        <w:tblLayout w:type="fixed"/>
        <w:tblCellMar>
          <w:top w:w="0" w:type="dxa"/>
          <w:start w:w="108" w:type="dxa"/>
          <w:bottom w:w="0" w:type="dxa"/>
          <w:end w:w="108" w:type="dxa"/>
        </w:tblCellMar>
      </w:tblPr>
      <w:tblGrid>
        <w:gridCol w:w="4338"/>
        <w:gridCol w:w="5130"/>
      </w:tblGrid>
      <w:tr>
        <w:trPr/>
        <w:tc>
          <w:tcPr>
            <w:tcW w:w="4338" w:type="dxa"/>
            <w:tcBorders/>
          </w:tcPr>
          <w:p>
            <w:pPr>
              <w:pStyle w:val="Normal"/>
              <w:snapToGrid w:val="false"/>
              <w:rPr/>
            </w:pPr>
            <w:r>
              <w:rPr/>
            </w:r>
          </w:p>
          <w:p>
            <w:pPr>
              <w:pStyle w:val="Normal"/>
              <w:rPr/>
            </w:pPr>
            <w:r>
              <w:rPr/>
            </w:r>
          </w:p>
          <w:p>
            <w:pPr>
              <w:pStyle w:val="Normal"/>
              <w:rPr/>
            </w:pPr>
            <w:r>
              <w:rPr/>
              <w:t>Craig Chancellor</w:t>
            </w:r>
          </w:p>
          <w:p>
            <w:pPr>
              <w:pStyle w:val="Normal"/>
              <w:rPr/>
            </w:pPr>
            <w:r>
              <w:rPr/>
              <w:t>Gas Regulatory Manager</w:t>
            </w:r>
          </w:p>
          <w:p>
            <w:pPr>
              <w:pStyle w:val="Normal"/>
              <w:rPr/>
            </w:pPr>
            <w:r>
              <w:rPr/>
              <w:t>CALPINE CORPORATION</w:t>
            </w:r>
          </w:p>
          <w:p>
            <w:pPr>
              <w:pStyle w:val="Normal"/>
              <w:rPr/>
            </w:pPr>
            <w:r>
              <w:rPr/>
              <w:t>6700 Koll Center Parkway, Suite 200</w:t>
            </w:r>
          </w:p>
          <w:p>
            <w:pPr>
              <w:pStyle w:val="Normal"/>
              <w:rPr/>
            </w:pPr>
            <w:r>
              <w:rPr/>
              <w:t>Pleasanton, CA  94566</w:t>
            </w:r>
          </w:p>
          <w:p>
            <w:pPr>
              <w:pStyle w:val="Normal"/>
              <w:rPr/>
            </w:pPr>
            <w:r>
              <w:rPr/>
              <w:t>Telephone:  (925) 600-2000</w:t>
            </w:r>
          </w:p>
          <w:p>
            <w:pPr>
              <w:pStyle w:val="Normal"/>
              <w:rPr/>
            </w:pPr>
            <w:r>
              <w:rPr/>
              <w:t>Facsimile:  (925) 600-8925</w:t>
            </w:r>
          </w:p>
          <w:p>
            <w:pPr>
              <w:pStyle w:val="Normal"/>
              <w:rPr/>
            </w:pPr>
            <w:r>
              <w:rPr/>
              <w:t>E-mail:  craigc@calpine.com</w:t>
            </w:r>
          </w:p>
        </w:tc>
        <w:tc>
          <w:tcPr>
            <w:tcW w:w="5130" w:type="dxa"/>
            <w:tcBorders/>
          </w:tcPr>
          <w:p>
            <w:pPr>
              <w:pStyle w:val="Normal"/>
              <w:snapToGrid w:val="false"/>
              <w:rPr/>
            </w:pPr>
            <w:r>
              <w:rPr/>
            </w:r>
          </w:p>
          <w:p>
            <w:pPr>
              <w:pStyle w:val="Normal"/>
              <w:tabs>
                <w:tab w:val="clear" w:pos="720"/>
                <w:tab w:val="left" w:pos="4482" w:leader="none"/>
              </w:tabs>
              <w:rPr>
                <w:u w:val="single"/>
              </w:rPr>
            </w:pPr>
            <w:r>
              <w:rPr>
                <w:u w:val="single"/>
              </w:rPr>
              <w:tab/>
            </w:r>
          </w:p>
          <w:p>
            <w:pPr>
              <w:pStyle w:val="Normal"/>
              <w:rPr/>
            </w:pPr>
            <w:r>
              <w:rPr/>
              <w:t>Lindsey How-Downing</w:t>
            </w:r>
          </w:p>
          <w:p>
            <w:pPr>
              <w:pStyle w:val="Normal"/>
              <w:rPr/>
            </w:pPr>
            <w:r>
              <w:rPr/>
              <w:t>Steven F. Greenwald</w:t>
            </w:r>
          </w:p>
          <w:p>
            <w:pPr>
              <w:pStyle w:val="Normal"/>
              <w:rPr/>
            </w:pPr>
            <w:r>
              <w:rPr/>
              <w:t>Salle E. Yoo</w:t>
            </w:r>
          </w:p>
          <w:p>
            <w:pPr>
              <w:pStyle w:val="Normal"/>
              <w:rPr/>
            </w:pPr>
            <w:r>
              <w:rPr/>
            </w:r>
          </w:p>
          <w:p>
            <w:pPr>
              <w:pStyle w:val="Normal"/>
              <w:rPr/>
            </w:pPr>
            <w:r>
              <w:rPr/>
              <w:t>DAVIS WRIGHT TREMAINE LLP</w:t>
            </w:r>
          </w:p>
          <w:p>
            <w:pPr>
              <w:pStyle w:val="Normal"/>
              <w:rPr/>
            </w:pPr>
            <w:r>
              <w:rPr/>
              <w:t>One Embarcadero Center, Suite 600</w:t>
            </w:r>
          </w:p>
          <w:p>
            <w:pPr>
              <w:pStyle w:val="Normal"/>
              <w:rPr/>
            </w:pPr>
            <w:r>
              <w:rPr/>
              <w:t>San Francisco, CA  94111-3834</w:t>
            </w:r>
          </w:p>
          <w:p>
            <w:pPr>
              <w:pStyle w:val="Normal"/>
              <w:rPr/>
            </w:pPr>
            <w:r>
              <w:rPr/>
              <w:t>Telephone:  (415) 276-6500</w:t>
            </w:r>
          </w:p>
          <w:p>
            <w:pPr>
              <w:pStyle w:val="Normal"/>
              <w:rPr/>
            </w:pPr>
            <w:r>
              <w:rPr/>
              <w:t>Facsimile:    (415) 276-6599</w:t>
            </w:r>
          </w:p>
          <w:p>
            <w:pPr>
              <w:pStyle w:val="Normal"/>
              <w:rPr/>
            </w:pPr>
            <w:r>
              <w:rPr/>
              <w:t>E-mail:  lindseyhowdowning@dwt.com</w:t>
            </w:r>
          </w:p>
          <w:p>
            <w:pPr>
              <w:pStyle w:val="Normal"/>
              <w:rPr/>
            </w:pPr>
            <w:r>
              <w:rPr/>
            </w:r>
          </w:p>
          <w:p>
            <w:pPr>
              <w:pStyle w:val="Normal"/>
              <w:rPr/>
            </w:pPr>
            <w:r>
              <w:rPr/>
              <w:t>Attorneys for CALPINE CORPORATION</w:t>
            </w:r>
          </w:p>
        </w:tc>
      </w:tr>
    </w:tbl>
    <w:p>
      <w:pPr>
        <w:pStyle w:val="Normal"/>
        <w:rPr/>
      </w:pPr>
      <w:r>
        <w:rPr/>
      </w:r>
    </w:p>
    <w:sectPr>
      <w:footerReference w:type="default" r:id="rId2"/>
      <w:footerReference w:type="first" r:id="rId3"/>
      <w:footnotePr>
        <w:numFmt w:val="decimal"/>
      </w:footnotePr>
      <w:type w:val="nextPage"/>
      <w:pgSz w:w="12240" w:h="15840"/>
      <w:pgMar w:left="1440" w:right="1440" w:gutter="0" w:header="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Bold">
    <w:altName w:val="Times New Roman"/>
    <w:charset w:val="00" w:characterSet="windows-1252"/>
    <w:family w:val="roman"/>
    <w:pitch w:val="default"/>
  </w:font>
  <w:font w:name="Tahom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enter" w:pos="4680" w:leader="none"/>
        <w:tab w:val="center" w:pos="5040" w:leader="none"/>
        <w:tab w:val="right" w:pos="9360" w:leader="none"/>
      </w:tabs>
      <w:rPr/>
    </w:pPr>
    <w:r>
      <w:rPr/>
      <w:fldChar w:fldCharType="begin"/>
    </w:r>
    <w:r>
      <w:rPr/>
      <w:instrText xml:space="preserve"> FILENAME \p </w:instrText>
    </w:r>
    <w:r>
      <w:rPr/>
      <w:fldChar w:fldCharType="separate"/>
    </w:r>
    <w:r>
      <w:rPr/>
      <w:t>/mnt/main-storage/datasets/enron-docs/doc/Gas_Phase_II_Reply_Brief.doc</w:t>
    </w:r>
    <w:r>
      <w:rPr/>
      <w:fldChar w:fldCharType="end"/>
    </w:r>
    <w:r>
      <w:rPr/>
      <w:tab/>
    </w:r>
    <w:r>
      <w:rPr>
        <w:rStyle w:val="PageNumber"/>
        <w:sz w:val="24"/>
      </w:rPr>
      <w:fldChar w:fldCharType="begin"/>
    </w:r>
    <w:r>
      <w:rPr>
        <w:rStyle w:val="PageNumber"/>
        <w:sz w:val="24"/>
      </w:rPr>
      <w:instrText xml:space="preserve"> PAGE </w:instrText>
    </w:r>
    <w:r>
      <w:rPr>
        <w:rStyle w:val="PageNumber"/>
        <w:sz w:val="24"/>
      </w:rPr>
      <w:fldChar w:fldCharType="separate"/>
    </w:r>
    <w:r>
      <w:rPr>
        <w:rStyle w:val="PageNumber"/>
        <w:sz w:val="24"/>
      </w:rPr>
      <w:t>5</w:t>
    </w:r>
    <w:r>
      <w:rPr>
        <w:rStyle w:val="PageNumber"/>
        <w:sz w:val="24"/>
      </w:rPr>
      <w:fldChar w:fldCharType="end"/>
    </w:r>
  </w:p>
  <w:p>
    <w:pPr>
      <w:pStyle w:val="Footer"/>
      <w:tabs>
        <w:tab w:val="center" w:pos="4680" w:leader="none"/>
        <w:tab w:val="center" w:pos="5040" w:leader="none"/>
        <w:tab w:val="right" w:pos="9360" w:leader="none"/>
      </w:tabs>
      <w:rPr/>
    </w:pPr>
    <w:r>
      <w:rPr/>
      <w:t>San Francisco</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enter" w:pos="4680" w:leader="none"/>
        <w:tab w:val="center" w:pos="5040" w:leader="none"/>
        <w:tab w:val="right" w:pos="9360" w:leader="none"/>
      </w:tabs>
      <w:rPr/>
    </w:pPr>
    <w:r>
      <w:rPr/>
      <w:fldChar w:fldCharType="begin"/>
    </w:r>
    <w:r>
      <w:rPr/>
      <w:instrText xml:space="preserve"> FILENAME \p </w:instrText>
    </w:r>
    <w:r>
      <w:rPr/>
      <w:fldChar w:fldCharType="separate"/>
    </w:r>
    <w:r>
      <w:rPr/>
      <w:t>/mnt/main-storage/datasets/enron-docs/doc/Gas_Phase_II_Reply_Brief.doc</w:t>
    </w:r>
    <w:r>
      <w:rPr/>
      <w:fldChar w:fldCharType="end"/>
    </w:r>
  </w:p>
  <w:p>
    <w:pPr>
      <w:pStyle w:val="Footer"/>
      <w:rPr/>
    </w:pPr>
    <w:r>
      <w:rPr/>
      <w:t>San Francisco</w:t>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spacing w:before="0" w:after="120"/>
        <w:ind w:firstLine="720" w:start="0" w:end="0"/>
        <w:rPr/>
      </w:pPr>
      <w:r>
        <w:rPr>
          <w:rStyle w:val="FootnoteCharacters"/>
        </w:rPr>
        <w:footnoteRef/>
      </w:r>
      <w:r>
        <w:rPr/>
        <w:t xml:space="preserve"> </w:t>
      </w:r>
      <w:r>
        <w:rPr/>
        <w:t>Calpine is also a signatory to the Rebuttal Brief of the Indicated Electric Generators.</w:t>
      </w:r>
    </w:p>
  </w:footnote>
  <w:footnote w:id="3">
    <w:p>
      <w:pPr>
        <w:pStyle w:val="FootnoteText"/>
        <w:spacing w:before="0" w:after="120"/>
        <w:ind w:firstLine="720" w:start="0" w:end="0"/>
        <w:rPr/>
      </w:pPr>
      <w:r>
        <w:rPr>
          <w:rStyle w:val="FootnoteCharacters"/>
        </w:rPr>
        <w:footnoteRef/>
      </w:r>
      <w:r>
        <w:rPr/>
        <w:t xml:space="preserve">  </w:t>
      </w:r>
      <w:r>
        <w:rPr/>
        <w:t xml:space="preserve">During the evidentiary hearings, Michel Florio testified that the Post-Interim Settlement does not allow for the possibility of direct connection or bypass and, therefore, the threat of bypass is greater under the Comprehensive Settlement Agreement.  </w:t>
      </w:r>
      <w:r>
        <w:rPr>
          <w:i/>
        </w:rPr>
        <w:t>See,</w:t>
      </w:r>
      <w:r>
        <w:rPr/>
        <w:t xml:space="preserve"> Hearing Transcript at 104:22-105:6; 237:22</w:t>
        <w:noBreakHyphen/>
        <w:t>240:26.</w:t>
      </w:r>
    </w:p>
  </w:footnote>
</w:footnote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upperRoman"/>
      <w:lvlText w:val="%1."/>
      <w:lvlJc w:val="start"/>
      <w:pPr>
        <w:tabs>
          <w:tab w:val="num" w:pos="720"/>
        </w:tabs>
        <w:ind w:start="720" w:hanging="720"/>
      </w:pPr>
      <w:rPr>
        <w:sz w:val="24"/>
        <w:i w:val="false"/>
        <w:u w:val="none"/>
        <w:b/>
        <w:rFonts w:ascii="Times New Roman Bold;Times New Roman" w:hAnsi="Times New Roman Bold;Times New Roman" w:cs="Times New Roman Bold;Times New Roman"/>
      </w:rPr>
    </w:lvl>
    <w:lvl w:ilvl="1">
      <w:start w:val="1"/>
      <w:pStyle w:val="Heading2"/>
      <w:numFmt w:val="decimal"/>
      <w:lvlText w:val="%2."/>
      <w:lvlJc w:val="start"/>
      <w:pPr>
        <w:tabs>
          <w:tab w:val="num" w:pos="1440"/>
        </w:tabs>
        <w:ind w:start="1440" w:hanging="720"/>
      </w:pPr>
      <w:rPr>
        <w:sz w:val="24"/>
        <w:i w:val="false"/>
        <w:u w:val="none"/>
        <w:b w:val="false"/>
        <w:rFonts w:ascii="Times New Roman" w:hAnsi="Times New Roman" w:cs="Times New Roman"/>
      </w:rPr>
    </w:lvl>
    <w:lvl w:ilvl="2">
      <w:start w:val="1"/>
      <w:pStyle w:val="Heading3"/>
      <w:numFmt w:val="lowerLetter"/>
      <w:lvlText w:val="(%3)"/>
      <w:lvlJc w:val="start"/>
      <w:pPr>
        <w:tabs>
          <w:tab w:val="num" w:pos="2160"/>
        </w:tabs>
        <w:ind w:start="2160" w:hanging="720"/>
      </w:pPr>
      <w:rPr>
        <w:sz w:val="24"/>
        <w:i w:val="false"/>
        <w:u w:val="none"/>
        <w:b w:val="false"/>
        <w:rFonts w:ascii="Times New Roman" w:hAnsi="Times New Roman" w:cs="Times New Roman"/>
      </w:rPr>
    </w:lvl>
    <w:lvl w:ilvl="3">
      <w:start w:val="1"/>
      <w:pStyle w:val="Heading4"/>
      <w:numFmt w:val="lowerLetter"/>
      <w:lvlText w:val="%4."/>
      <w:lvlJc w:val="start"/>
      <w:pPr>
        <w:tabs>
          <w:tab w:val="num" w:pos="2880"/>
        </w:tabs>
        <w:ind w:start="2880" w:hanging="720"/>
      </w:pPr>
      <w:rPr>
        <w:sz w:val="24"/>
        <w:i w:val="false"/>
        <w:u w:val="none"/>
        <w:b w:val="false"/>
        <w:rFonts w:ascii="Times New Roman" w:hAnsi="Times New Roman" w:cs="Times New Roman"/>
      </w:rPr>
    </w:lvl>
    <w:lvl w:ilvl="4">
      <w:start w:val="1"/>
      <w:pStyle w:val="Heading5"/>
      <w:numFmt w:val="decimal"/>
      <w:lvlText w:val="%5)"/>
      <w:lvlJc w:val="start"/>
      <w:pPr>
        <w:tabs>
          <w:tab w:val="num" w:pos="3600"/>
        </w:tabs>
        <w:ind w:start="3600" w:hanging="720"/>
      </w:pPr>
      <w:rPr>
        <w:sz w:val="24"/>
        <w:i w:val="false"/>
        <w:u w:val="none"/>
        <w:b w:val="false"/>
        <w:rFonts w:ascii="Times New Roman" w:hAnsi="Times New Roman" w:cs="Times New Roman"/>
      </w:rPr>
    </w:lvl>
    <w:lvl w:ilvl="5">
      <w:start w:val="1"/>
      <w:numFmt w:val="decimal"/>
      <w:lvlText w:val="%1.%2.%3.%4.%5.%6."/>
      <w:lvlJc w:val="start"/>
      <w:pPr>
        <w:tabs>
          <w:tab w:val="num" w:pos="2880"/>
        </w:tabs>
        <w:ind w:start="2736" w:hanging="936"/>
      </w:pPr>
    </w:lvl>
    <w:lvl w:ilvl="6">
      <w:start w:val="1"/>
      <w:numFmt w:val="decimal"/>
      <w:lvlText w:val="%1.%2.%3.%4.%5.%6.%7."/>
      <w:lvlJc w:val="start"/>
      <w:pPr>
        <w:tabs>
          <w:tab w:val="num" w:pos="3600"/>
        </w:tabs>
        <w:ind w:start="3240" w:hanging="1080"/>
      </w:pPr>
    </w:lvl>
    <w:lvl w:ilvl="7">
      <w:start w:val="1"/>
      <w:numFmt w:val="decimal"/>
      <w:lvlText w:val="%1.%2.%3.%4.%5.%6.%7.%8."/>
      <w:lvlJc w:val="start"/>
      <w:pPr>
        <w:tabs>
          <w:tab w:val="num" w:pos="3960"/>
        </w:tabs>
        <w:ind w:start="3744" w:hanging="1224"/>
      </w:pPr>
    </w:lvl>
    <w:lvl w:ilvl="8">
      <w:start w:val="1"/>
      <w:numFmt w:val="decimal"/>
      <w:lvlText w:val="%1.%2.%3.%4.%5.%6.%7.%8.%9."/>
      <w:lvlJc w:val="start"/>
      <w:pPr>
        <w:tabs>
          <w:tab w:val="num" w:pos="4680"/>
        </w:tabs>
        <w:ind w:start="4320" w:hanging="1440"/>
      </w:pPr>
    </w:lvl>
  </w:abstractNum>
  <w:abstractNum w:abstractNumId="2">
    <w:lvl w:ilvl="0">
      <w:start w:val="1"/>
      <w:numFmt w:val="upperRoman"/>
      <w:lvlText w:val="%1."/>
      <w:lvlJc w:val="start"/>
      <w:pPr>
        <w:tabs>
          <w:tab w:val="num" w:pos="720"/>
        </w:tabs>
        <w:ind w:start="720" w:hanging="720"/>
      </w:pPr>
      <w:rPr>
        <w:sz w:val="24"/>
        <w:i w:val="false"/>
        <w:u w:val="none"/>
        <w:b/>
        <w:rFonts w:ascii="Times New Roman Bold;Times New Roman" w:hAnsi="Times New Roman Bold;Times New Roman" w:cs="Times New Roman"/>
      </w:rPr>
    </w:lvl>
    <w:lvl w:ilvl="1">
      <w:start w:val="1"/>
      <w:numFmt w:val="upperLetter"/>
      <w:lvlText w:val="%2."/>
      <w:lvlJc w:val="start"/>
      <w:pPr>
        <w:tabs>
          <w:tab w:val="num" w:pos="1440"/>
        </w:tabs>
        <w:ind w:start="1440" w:hanging="720"/>
      </w:pPr>
      <w:rPr>
        <w:sz w:val="24"/>
        <w:i w:val="false"/>
        <w:u w:val="none"/>
        <w:b/>
        <w:rFonts w:ascii="Times New Roman Bold;Times New Roman" w:hAnsi="Times New Roman Bold;Times New Roman" w:cs="Times New Roman Bold;Times New Roman"/>
      </w:rPr>
    </w:lvl>
    <w:lvl w:ilvl="2">
      <w:start w:val="1"/>
      <w:numFmt w:val="decimal"/>
      <w:lvlText w:val="%3."/>
      <w:lvlJc w:val="start"/>
      <w:pPr>
        <w:tabs>
          <w:tab w:val="num" w:pos="1800"/>
        </w:tabs>
        <w:ind w:start="1440" w:hanging="0"/>
      </w:pPr>
      <w:rPr>
        <w:sz w:val="24"/>
        <w:i w:val="false"/>
        <w:b/>
        <w:rFonts w:ascii="Times New Roman Bold;Times New Roman" w:hAnsi="Times New Roman Bold;Times New Roman" w:cs="Times New Roman Bold;Times New Roman"/>
      </w:rPr>
    </w:lvl>
    <w:lvl w:ilvl="3">
      <w:start w:val="1"/>
      <w:numFmt w:val="lowerLetter"/>
      <w:lvlText w:val="%4."/>
      <w:lvlJc w:val="start"/>
      <w:pPr>
        <w:tabs>
          <w:tab w:val="num" w:pos="2736"/>
        </w:tabs>
        <w:ind w:start="2736" w:hanging="576"/>
      </w:pPr>
      <w:rPr>
        <w:sz w:val="24"/>
        <w:i w:val="false"/>
        <w:b/>
        <w:rFonts w:ascii="Times New Roman Bold;Times New Roman" w:hAnsi="Times New Roman Bold;Times New Roman" w:cs="Times New Roman Bold;Times New Roman"/>
      </w:rPr>
    </w:lvl>
    <w:lvl w:ilvl="4">
      <w:start w:val="1"/>
      <w:numFmt w:val="decimal"/>
      <w:lvlText w:val="(%5)"/>
      <w:lvlJc w:val="start"/>
      <w:pPr>
        <w:tabs>
          <w:tab w:val="num" w:pos="3240"/>
        </w:tabs>
        <w:ind w:start="2880" w:hanging="0"/>
      </w:pPr>
    </w:lvl>
    <w:lvl w:ilvl="5">
      <w:start w:val="1"/>
      <w:numFmt w:val="lowerLetter"/>
      <w:lvlText w:val="(%6)"/>
      <w:lvlJc w:val="start"/>
      <w:pPr>
        <w:tabs>
          <w:tab w:val="num" w:pos="3960"/>
        </w:tabs>
        <w:ind w:start="3600" w:hanging="0"/>
      </w:pPr>
    </w:lvl>
    <w:lvl w:ilvl="6">
      <w:start w:val="1"/>
      <w:numFmt w:val="lowerRoman"/>
      <w:lvlText w:val="%7)"/>
      <w:lvlJc w:val="start"/>
      <w:pPr>
        <w:tabs>
          <w:tab w:val="num" w:pos="5040"/>
        </w:tabs>
        <w:ind w:start="4320" w:hanging="0"/>
      </w:pPr>
    </w:lvl>
    <w:lvl w:ilvl="7">
      <w:start w:val="1"/>
      <w:numFmt w:val="lowerLetter"/>
      <w:lvlText w:val="%8)"/>
      <w:lvlJc w:val="start"/>
      <w:pPr>
        <w:tabs>
          <w:tab w:val="num" w:pos="5400"/>
        </w:tabs>
        <w:ind w:start="5040" w:hanging="0"/>
      </w:pPr>
    </w:lvl>
    <w:lvl w:ilvl="8">
      <w:start w:val="1"/>
      <w:numFmt w:val="lowerRoman"/>
      <w:lvlText w:val="(%9)"/>
      <w:lvlJc w:val="start"/>
      <w:pPr>
        <w:tabs>
          <w:tab w:val="num" w:pos="6480"/>
        </w:tabs>
        <w:ind w:start="5760" w:hanging="0"/>
      </w:pPr>
    </w:lvl>
  </w:abstractNum>
  <w:abstractNum w:abstractNumId="3">
    <w:lvl w:ilvl="0">
      <w:start w:val="1"/>
      <w:numFmt w:val="upperRoman"/>
      <w:lvlText w:val="%1."/>
      <w:lvlJc w:val="center"/>
      <w:pPr>
        <w:tabs>
          <w:tab w:val="num" w:pos="720"/>
        </w:tabs>
        <w:ind w:start="720" w:hanging="432"/>
      </w:pPr>
      <w:rPr>
        <w:caps/>
        <w:outline w:val="false"/>
        <w:dstrike w:val="false"/>
        <w:strike w:val="false"/>
        <w:vertAlign w:val="baseline"/>
        <w:position w:val="0"/>
        <w:sz w:val="24"/>
        <w:sz w:val="24"/>
        <w:i w:val="false"/>
        <w:shadow w:val="false"/>
        <w:u w:val="none"/>
        <w:b/>
        <w:rFonts w:ascii="Times New Roman" w:hAnsi="Times New Roman" w:cs="Times New Roman"/>
        <w:color w:val="000000"/>
      </w:rPr>
    </w:lvl>
    <w:lvl w:ilvl="1">
      <w:start w:val="1"/>
      <w:numFmt w:val="upperLetter"/>
      <w:lvlText w:val="%2."/>
      <w:lvlJc w:val="start"/>
      <w:pPr>
        <w:tabs>
          <w:tab w:val="num" w:pos="1440"/>
        </w:tabs>
        <w:ind w:start="1440" w:hanging="720"/>
      </w:pPr>
      <w:rPr>
        <w:smallCaps w:val="false"/>
        <w:caps w:val="false"/>
        <w:outline w:val="false"/>
        <w:dstrike w:val="false"/>
        <w:strike w:val="false"/>
        <w:vertAlign w:val="baseline"/>
        <w:position w:val="0"/>
        <w:sz w:val="24"/>
        <w:sz w:val="24"/>
        <w:i w:val="false"/>
        <w:shadow w:val="false"/>
        <w:u w:val="none"/>
        <w:b/>
        <w:rFonts w:ascii="Times New Roman Bold;Times New Roman" w:hAnsi="Times New Roman Bold;Times New Roman" w:cs="Times New Roman Bold;Times New Roman"/>
        <w:color w:val="000000"/>
      </w:rPr>
    </w:lvl>
    <w:lvl w:ilvl="2">
      <w:start w:val="1"/>
      <w:numFmt w:val="decimal"/>
      <w:lvlText w:val="%3."/>
      <w:lvlJc w:val="start"/>
      <w:pPr>
        <w:tabs>
          <w:tab w:val="num" w:pos="2160"/>
        </w:tabs>
        <w:ind w:start="2160" w:hanging="720"/>
      </w:pPr>
      <w:rPr>
        <w:smallCaps w:val="false"/>
        <w:caps w:val="false"/>
        <w:outline w:val="false"/>
        <w:dstrike w:val="false"/>
        <w:strike w:val="false"/>
        <w:vertAlign w:val="baseline"/>
        <w:position w:val="0"/>
        <w:sz w:val="24"/>
        <w:sz w:val="24"/>
        <w:i w:val="false"/>
        <w:shadow w:val="false"/>
        <w:u w:val="none"/>
        <w:b/>
        <w:rFonts w:ascii="Times New Roman" w:hAnsi="Times New Roman" w:cs="Times New Roman"/>
        <w:color w:val="000000"/>
      </w:rPr>
    </w:lvl>
    <w:lvl w:ilvl="3">
      <w:start w:val="1"/>
      <w:numFmt w:val="lowerLetter"/>
      <w:lvlText w:val="%4."/>
      <w:lvlJc w:val="start"/>
      <w:pPr>
        <w:tabs>
          <w:tab w:val="num" w:pos="2880"/>
        </w:tabs>
        <w:ind w:start="2880" w:hanging="720"/>
      </w:pPr>
      <w:rPr>
        <w:smallCaps w:val="false"/>
        <w:caps w:val="false"/>
        <w:outline w:val="false"/>
        <w:dstrike w:val="false"/>
        <w:strike w:val="false"/>
        <w:vertAlign w:val="baseline"/>
        <w:position w:val="0"/>
        <w:sz w:val="24"/>
        <w:sz w:val="24"/>
        <w:i w:val="false"/>
        <w:shadow w:val="false"/>
        <w:u w:val="none"/>
        <w:b/>
        <w:rFonts w:ascii="Times New Roman" w:hAnsi="Times New Roman" w:cs="Times New Roman"/>
        <w:color w:val="000000"/>
      </w:rPr>
    </w:lvl>
    <w:lvl w:ilvl="4">
      <w:start w:val="1"/>
      <w:numFmt w:val="decimal"/>
      <w:lvlText w:val="(%5)"/>
      <w:lvlJc w:val="start"/>
      <w:pPr>
        <w:tabs>
          <w:tab w:val="num" w:pos="3600"/>
        </w:tabs>
        <w:ind w:start="3600" w:hanging="720"/>
      </w:pPr>
      <w:rPr>
        <w:smallCaps w:val="false"/>
        <w:caps w:val="false"/>
        <w:outline w:val="false"/>
        <w:dstrike w:val="false"/>
        <w:strike w:val="false"/>
        <w:vertAlign w:val="baseline"/>
        <w:position w:val="0"/>
        <w:sz w:val="24"/>
        <w:sz w:val="24"/>
        <w:i w:val="false"/>
        <w:shadow w:val="false"/>
        <w:u w:val="none"/>
        <w:b/>
        <w:rFonts w:ascii="Times New Roman" w:hAnsi="Times New Roman" w:cs="Times New Roman"/>
        <w:color w:val="000000"/>
      </w:rPr>
    </w:lvl>
    <w:lvl w:ilvl="5">
      <w:start w:val="1"/>
      <w:numFmt w:val="lowerLetter"/>
      <w:lvlText w:val="(%6)"/>
      <w:lvlJc w:val="start"/>
      <w:pPr>
        <w:tabs>
          <w:tab w:val="num" w:pos="4320"/>
        </w:tabs>
        <w:ind w:start="4320" w:hanging="720"/>
      </w:pPr>
      <w:rPr>
        <w:smallCaps w:val="false"/>
        <w:caps w:val="false"/>
        <w:outline w:val="false"/>
        <w:dstrike w:val="false"/>
        <w:strike w:val="false"/>
        <w:vertAlign w:val="baseline"/>
        <w:position w:val="0"/>
        <w:sz w:val="24"/>
        <w:sz w:val="24"/>
        <w:i w:val="false"/>
        <w:shadow w:val="false"/>
        <w:u w:val="none"/>
        <w:b/>
        <w:rFonts w:ascii="Times New Roman" w:hAnsi="Times New Roman" w:cs="Times New Roman"/>
        <w:color w:val="000000"/>
      </w:rPr>
    </w:lvl>
    <w:lvl w:ilvl="6">
      <w:start w:val="1"/>
      <w:numFmt w:val="lowerRoman"/>
      <w:lvlText w:val="%7)"/>
      <w:lvlJc w:val="start"/>
      <w:pPr>
        <w:tabs>
          <w:tab w:val="num" w:pos="5040"/>
        </w:tabs>
        <w:ind w:start="5040" w:hanging="720"/>
      </w:pPr>
      <w:rPr>
        <w:smallCaps w:val="false"/>
        <w:caps w:val="false"/>
        <w:outline w:val="false"/>
        <w:dstrike w:val="false"/>
        <w:strike w:val="false"/>
        <w:vertAlign w:val="baseline"/>
        <w:position w:val="0"/>
        <w:sz w:val="24"/>
        <w:sz w:val="24"/>
        <w:i w:val="false"/>
        <w:shadow w:val="false"/>
        <w:u w:val="none"/>
        <w:b/>
        <w:rFonts w:ascii="Times New Roman" w:hAnsi="Times New Roman" w:cs="Times New Roman"/>
        <w:color w:val="000000"/>
      </w:rPr>
    </w:lvl>
    <w:lvl w:ilvl="7">
      <w:start w:val="1"/>
      <w:numFmt w:val="lowerLetter"/>
      <w:lvlText w:val="%8)"/>
      <w:lvlJc w:val="start"/>
      <w:pPr>
        <w:tabs>
          <w:tab w:val="num" w:pos="5760"/>
        </w:tabs>
        <w:ind w:start="5760" w:hanging="720"/>
      </w:pPr>
      <w:rPr>
        <w:smallCaps w:val="false"/>
        <w:caps w:val="false"/>
        <w:outline w:val="false"/>
        <w:dstrike w:val="false"/>
        <w:strike w:val="false"/>
        <w:vertAlign w:val="baseline"/>
        <w:position w:val="0"/>
        <w:sz w:val="24"/>
        <w:sz w:val="24"/>
        <w:i w:val="false"/>
        <w:shadow w:val="false"/>
        <w:u w:val="none"/>
        <w:b/>
        <w:rFonts w:ascii="Times New Roman" w:hAnsi="Times New Roman" w:cs="Times New Roman"/>
        <w:color w:val="000000"/>
      </w:rPr>
    </w:lvl>
    <w:lvl w:ilvl="8">
      <w:start w:val="1"/>
      <w:numFmt w:val="lowerRoman"/>
      <w:lvlText w:val="%9."/>
      <w:lvlJc w:val="start"/>
      <w:pPr>
        <w:tabs>
          <w:tab w:val="num" w:pos="3240"/>
        </w:tabs>
        <w:ind w:start="3240" w:hanging="36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90"/>
  <w:defaultTabStop w:val="720"/>
  <w:autoHyphenation w:val="true"/>
  <w:hyphenationZone w:val="0"/>
  <w:footnotePr>
    <w:numFmt w:val="decimal"/>
    <w:footnote w:id="0"/>
    <w:footnote w:id="1"/>
  </w:footnotePr>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eastAsia="en-US" w:bidi="hi-IN"/>
    </w:rPr>
  </w:style>
  <w:style w:type="paragraph" w:styleId="Heading1">
    <w:name w:val="heading 1"/>
    <w:basedOn w:val="Normal"/>
    <w:next w:val="Normal"/>
    <w:qFormat/>
    <w:pPr>
      <w:keepNext w:val="true"/>
      <w:numPr>
        <w:ilvl w:val="0"/>
        <w:numId w:val="1"/>
      </w:numPr>
      <w:spacing w:before="0" w:after="240"/>
      <w:outlineLvl w:val="0"/>
    </w:pPr>
    <w:rPr>
      <w:rFonts w:ascii="Times New Roman Bold;Times New Roman" w:hAnsi="Times New Roman Bold;Times New Roman" w:cs="Times New Roman Bold;Times New Roman"/>
      <w:b/>
      <w:lang w:eastAsia="en-CA"/>
    </w:rPr>
  </w:style>
  <w:style w:type="paragraph" w:styleId="Heading2">
    <w:name w:val="heading 2"/>
    <w:basedOn w:val="Normal"/>
    <w:next w:val="Normal"/>
    <w:qFormat/>
    <w:pPr>
      <w:numPr>
        <w:ilvl w:val="1"/>
        <w:numId w:val="1"/>
      </w:numPr>
      <w:spacing w:before="0" w:after="240"/>
      <w:outlineLvl w:val="1"/>
    </w:pPr>
    <w:rPr>
      <w:lang w:eastAsia="en-CA"/>
    </w:rPr>
  </w:style>
  <w:style w:type="paragraph" w:styleId="Heading3">
    <w:name w:val="heading 3"/>
    <w:basedOn w:val="Normal"/>
    <w:next w:val="Normal"/>
    <w:qFormat/>
    <w:pPr>
      <w:numPr>
        <w:ilvl w:val="2"/>
        <w:numId w:val="1"/>
      </w:numPr>
      <w:spacing w:before="0" w:after="240"/>
      <w:outlineLvl w:val="2"/>
    </w:pPr>
    <w:rPr>
      <w:lang w:eastAsia="en-CA"/>
    </w:rPr>
  </w:style>
  <w:style w:type="paragraph" w:styleId="Heading4">
    <w:name w:val="heading 4"/>
    <w:basedOn w:val="Normal"/>
    <w:next w:val="Normal"/>
    <w:qFormat/>
    <w:pPr>
      <w:numPr>
        <w:ilvl w:val="3"/>
        <w:numId w:val="1"/>
      </w:numPr>
      <w:spacing w:before="0" w:after="240"/>
      <w:outlineLvl w:val="3"/>
    </w:pPr>
    <w:rPr>
      <w:lang w:eastAsia="en-CA"/>
    </w:rPr>
  </w:style>
  <w:style w:type="paragraph" w:styleId="Heading5">
    <w:name w:val="heading 5"/>
    <w:basedOn w:val="Normal"/>
    <w:next w:val="Normal"/>
    <w:qFormat/>
    <w:pPr>
      <w:numPr>
        <w:ilvl w:val="4"/>
        <w:numId w:val="1"/>
      </w:numPr>
      <w:spacing w:before="0" w:after="240"/>
      <w:outlineLvl w:val="4"/>
    </w:pPr>
    <w:rPr>
      <w:lang w:eastAsia="en-CA"/>
    </w:rPr>
  </w:style>
  <w:style w:type="character" w:styleId="WW8Num2z0">
    <w:name w:val="WW8Num2z0"/>
    <w:qFormat/>
    <w:rPr/>
  </w:style>
  <w:style w:type="character" w:styleId="WW8Num3z0">
    <w:name w:val="WW8Num3z0"/>
    <w:qFormat/>
    <w:rPr/>
  </w:style>
  <w:style w:type="character" w:styleId="WW8Num4z0">
    <w:name w:val="WW8Num4z0"/>
    <w:qFormat/>
    <w:rPr/>
  </w:style>
  <w:style w:type="character" w:styleId="WW8Num5z0">
    <w:name w:val="WW8Num5z0"/>
    <w:qFormat/>
    <w:rPr>
      <w:rFonts w:ascii="Times New Roman Bold;Times New Roman" w:hAnsi="Times New Roman Bold;Times New Roman" w:cs="Times New Roman"/>
      <w:b/>
      <w:i w:val="false"/>
      <w:sz w:val="24"/>
      <w:u w:val="none"/>
    </w:rPr>
  </w:style>
  <w:style w:type="character" w:styleId="WW8Num5z1">
    <w:name w:val="WW8Num5z1"/>
    <w:qFormat/>
    <w:rPr>
      <w:rFonts w:ascii="Times New Roman Bold;Times New Roman" w:hAnsi="Times New Roman Bold;Times New Roman" w:cs="Times New Roman Bold;Times New Roman"/>
      <w:b/>
      <w:i w:val="false"/>
      <w:sz w:val="24"/>
      <w:u w:val="none"/>
    </w:rPr>
  </w:style>
  <w:style w:type="character" w:styleId="WW8Num5z2">
    <w:name w:val="WW8Num5z2"/>
    <w:qFormat/>
    <w:rPr>
      <w:rFonts w:ascii="Times New Roman Bold;Times New Roman" w:hAnsi="Times New Roman Bold;Times New Roman" w:cs="Times New Roman Bold;Times New Roman"/>
      <w:b/>
      <w:i w:val="false"/>
      <w:sz w:val="24"/>
    </w:rPr>
  </w:style>
  <w:style w:type="character" w:styleId="WW8Num7z0">
    <w:name w:val="WW8Num7z0"/>
    <w:qFormat/>
    <w:rPr/>
  </w:style>
  <w:style w:type="character" w:styleId="WW8Num9z0">
    <w:name w:val="WW8Num9z0"/>
    <w:qFormat/>
    <w:rPr/>
  </w:style>
  <w:style w:type="character" w:styleId="WW8Num11z0">
    <w:name w:val="WW8Num11z0"/>
    <w:qFormat/>
    <w:rPr/>
  </w:style>
  <w:style w:type="character" w:styleId="WW8Num12z0">
    <w:name w:val="WW8Num12z0"/>
    <w:qFormat/>
    <w:rPr>
      <w:rFonts w:ascii="Times New Roman" w:hAnsi="Times New Roman" w:cs="Times New Roman"/>
      <w:b/>
      <w:i w:val="false"/>
      <w:caps/>
      <w:strike w:val="false"/>
      <w:dstrike w:val="false"/>
      <w:outline w:val="false"/>
      <w:shadow w:val="false"/>
      <w:color w:val="000000"/>
      <w:position w:val="0"/>
      <w:sz w:val="24"/>
      <w:sz w:val="24"/>
      <w:u w:val="none"/>
      <w:vertAlign w:val="baseline"/>
    </w:rPr>
  </w:style>
  <w:style w:type="character" w:styleId="WW8Num12z1">
    <w:name w:val="WW8Num12z1"/>
    <w:qFormat/>
    <w:rPr>
      <w:rFonts w:ascii="Times New Roman Bold;Times New Roman" w:hAnsi="Times New Roman Bold;Times New Roman" w:cs="Times New Roman Bold;Times New Roman"/>
      <w:b/>
      <w:i w:val="false"/>
      <w:caps w:val="false"/>
      <w:smallCaps w:val="false"/>
      <w:strike w:val="false"/>
      <w:dstrike w:val="false"/>
      <w:outline w:val="false"/>
      <w:shadow w:val="false"/>
      <w:color w:val="000000"/>
      <w:position w:val="0"/>
      <w:sz w:val="24"/>
      <w:sz w:val="24"/>
      <w:u w:val="none"/>
      <w:vertAlign w:val="baseline"/>
    </w:rPr>
  </w:style>
  <w:style w:type="character" w:styleId="WW8Num12z2">
    <w:name w:val="WW8Num12z2"/>
    <w:qFormat/>
    <w:rPr>
      <w:rFonts w:ascii="Times New Roman" w:hAnsi="Times New Roman" w:cs="Times New Roman"/>
      <w:b/>
      <w:i w:val="false"/>
      <w:caps w:val="false"/>
      <w:smallCaps w:val="false"/>
      <w:strike w:val="false"/>
      <w:dstrike w:val="false"/>
      <w:outline w:val="false"/>
      <w:shadow w:val="false"/>
      <w:color w:val="000000"/>
      <w:position w:val="0"/>
      <w:sz w:val="24"/>
      <w:sz w:val="24"/>
      <w:u w:val="none"/>
      <w:vertAlign w:val="baseline"/>
    </w:rPr>
  </w:style>
  <w:style w:type="character" w:styleId="WW8Num14z0">
    <w:name w:val="WW8Num14z0"/>
    <w:qFormat/>
    <w:rPr/>
  </w:style>
  <w:style w:type="character" w:styleId="WW8Num15z0">
    <w:name w:val="WW8Num15z0"/>
    <w:qFormat/>
    <w:rPr/>
  </w:style>
  <w:style w:type="character" w:styleId="WW8Num20z0">
    <w:name w:val="WW8Num20z0"/>
    <w:qFormat/>
    <w:rPr/>
  </w:style>
  <w:style w:type="character" w:styleId="WW8Num21z0">
    <w:name w:val="WW8Num21z0"/>
    <w:qFormat/>
    <w:rPr>
      <w:u w:val="none"/>
    </w:rPr>
  </w:style>
  <w:style w:type="character" w:styleId="WW8Num22z0">
    <w:name w:val="WW8Num22z0"/>
    <w:qFormat/>
    <w:rPr>
      <w:rFonts w:ascii="Times New Roman" w:hAnsi="Times New Roman" w:cs="Times New Roman"/>
      <w:b w:val="false"/>
      <w:i w:val="false"/>
      <w:sz w:val="24"/>
      <w:u w:val="none"/>
    </w:rPr>
  </w:style>
  <w:style w:type="character" w:styleId="WW8Num23z0">
    <w:name w:val="WW8Num23z0"/>
    <w:qFormat/>
    <w:rPr/>
  </w:style>
  <w:style w:type="character" w:styleId="WW8Num25z0">
    <w:name w:val="WW8Num25z0"/>
    <w:qFormat/>
    <w:rPr>
      <w:rFonts w:ascii="Times New Roman Bold;Times New Roman" w:hAnsi="Times New Roman Bold;Times New Roman" w:cs="Times New Roman Bold;Times New Roman"/>
      <w:b/>
      <w:i w:val="false"/>
      <w:sz w:val="24"/>
      <w:u w:val="none"/>
    </w:rPr>
  </w:style>
  <w:style w:type="character" w:styleId="WW8Num25z1">
    <w:name w:val="WW8Num25z1"/>
    <w:qFormat/>
    <w:rPr>
      <w:rFonts w:ascii="Times New Roman" w:hAnsi="Times New Roman" w:cs="Times New Roman"/>
      <w:b w:val="false"/>
      <w:i w:val="false"/>
      <w:sz w:val="24"/>
      <w:u w:val="none"/>
    </w:rPr>
  </w:style>
  <w:style w:type="character" w:styleId="DefaultParagraphFont">
    <w:name w:val="Default Paragraph Font"/>
    <w:qFormat/>
    <w:rPr/>
  </w:style>
  <w:style w:type="character" w:styleId="EndnoteCharacters">
    <w:name w:val="Endnote Characters"/>
    <w:basedOn w:val="DefaultParagraphFont"/>
    <w:qFormat/>
    <w:rPr>
      <w:vertAlign w:val="superscript"/>
    </w:rPr>
  </w:style>
  <w:style w:type="character" w:styleId="FootnoteCharacters">
    <w:name w:val="Footnote Characters"/>
    <w:basedOn w:val="DefaultParagraphFont"/>
    <w:qFormat/>
    <w:rPr>
      <w:vertAlign w:val="superscript"/>
    </w:rPr>
  </w:style>
  <w:style w:type="character" w:styleId="EquationCaption">
    <w:name w:val="_Equation Caption"/>
    <w:qFormat/>
    <w:rPr/>
  </w:style>
  <w:style w:type="character" w:styleId="PageNumber">
    <w:name w:val="page number"/>
    <w:basedOn w:val="DefaultParagraphFont"/>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character" w:styleId="FootnoteReference">
    <w:name w:val="footnote reference"/>
    <w:rPr>
      <w:vertAlign w:val="superscript"/>
    </w:rPr>
  </w:style>
  <w:style w:type="character" w:styleId="EndnoteReference">
    <w:name w:val="endnote reference"/>
    <w:rPr>
      <w:vertAlign w:val="superscript"/>
    </w:rPr>
  </w:style>
  <w:style w:type="paragraph" w:styleId="Heading">
    <w:name w:val="Heading"/>
    <w:basedOn w:val="Normal"/>
    <w:next w:val="BodyText"/>
    <w:qFormat/>
    <w:pPr>
      <w:jc w:val="center"/>
    </w:pPr>
    <w:rPr>
      <w:rFonts w:ascii="Times New Roman Bold;Times New Roman" w:hAnsi="Times New Roman Bold;Times New Roman" w:cs="Times New Roman Bold;Times New Roman"/>
      <w:b/>
      <w:lang w:eastAsia="en-CA"/>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next w:val="Normal"/>
    <w:qFormat/>
    <w:pPr/>
    <w:rPr/>
  </w:style>
  <w:style w:type="paragraph" w:styleId="Index">
    <w:name w:val="Index"/>
    <w:basedOn w:val="Normal"/>
    <w:qFormat/>
    <w:pPr>
      <w:suppressLineNumbers/>
    </w:pPr>
    <w:rPr>
      <w:rFonts w:cs="NotoSans NF"/>
    </w:rPr>
  </w:style>
  <w:style w:type="paragraph" w:styleId="EndnoteText">
    <w:name w:val="endnote text"/>
    <w:basedOn w:val="Normal"/>
    <w:pPr/>
    <w:rPr/>
  </w:style>
  <w:style w:type="paragraph" w:styleId="FootnoteText">
    <w:name w:val="footnote text"/>
    <w:basedOn w:val="Normal"/>
    <w:pPr>
      <w:spacing w:before="0" w:after="120"/>
      <w:ind w:firstLine="720" w:start="0" w:end="0"/>
    </w:pPr>
    <w:rPr>
      <w:sz w:val="22"/>
    </w:rPr>
  </w:style>
  <w:style w:type="paragraph" w:styleId="TOC1">
    <w:name w:val="toc 1"/>
    <w:basedOn w:val="Normal"/>
    <w:next w:val="Normal"/>
    <w:pPr>
      <w:tabs>
        <w:tab w:val="clear" w:pos="720"/>
        <w:tab w:val="right" w:pos="9360" w:leader="dot"/>
      </w:tabs>
      <w:suppressAutoHyphens w:val="true"/>
      <w:spacing w:before="480" w:after="0"/>
      <w:ind w:hanging="720" w:start="720" w:end="720"/>
    </w:pPr>
    <w:rPr/>
  </w:style>
  <w:style w:type="paragraph" w:styleId="TOC2">
    <w:name w:val="toc 2"/>
    <w:basedOn w:val="Normal"/>
    <w:next w:val="Normal"/>
    <w:pPr>
      <w:tabs>
        <w:tab w:val="clear" w:pos="720"/>
        <w:tab w:val="right" w:pos="9360" w:leader="dot"/>
      </w:tabs>
      <w:suppressAutoHyphens w:val="true"/>
      <w:ind w:hanging="720" w:start="1440" w:end="720"/>
    </w:pPr>
    <w:rPr/>
  </w:style>
  <w:style w:type="paragraph" w:styleId="TOC3">
    <w:name w:val="toc 3"/>
    <w:basedOn w:val="Normal"/>
    <w:next w:val="Normal"/>
    <w:pPr>
      <w:tabs>
        <w:tab w:val="clear" w:pos="720"/>
        <w:tab w:val="right" w:pos="9360" w:leader="dot"/>
      </w:tabs>
      <w:suppressAutoHyphens w:val="true"/>
      <w:ind w:hanging="720" w:start="2160" w:end="720"/>
    </w:pPr>
    <w:rPr/>
  </w:style>
  <w:style w:type="paragraph" w:styleId="TOC4">
    <w:name w:val="toc 4"/>
    <w:basedOn w:val="Normal"/>
    <w:next w:val="Normal"/>
    <w:pPr>
      <w:tabs>
        <w:tab w:val="clear" w:pos="720"/>
        <w:tab w:val="right" w:pos="9360" w:leader="dot"/>
      </w:tabs>
      <w:suppressAutoHyphens w:val="true"/>
      <w:ind w:hanging="720" w:start="2880" w:end="720"/>
    </w:pPr>
    <w:rPr/>
  </w:style>
  <w:style w:type="paragraph" w:styleId="TOC5">
    <w:name w:val="toc 5"/>
    <w:basedOn w:val="Normal"/>
    <w:next w:val="Normal"/>
    <w:pPr>
      <w:tabs>
        <w:tab w:val="clear" w:pos="720"/>
        <w:tab w:val="right" w:pos="9360" w:leader="dot"/>
      </w:tabs>
      <w:suppressAutoHyphens w:val="true"/>
      <w:ind w:hanging="720" w:start="3600" w:end="720"/>
    </w:pPr>
    <w:rPr/>
  </w:style>
  <w:style w:type="paragraph" w:styleId="TOC6">
    <w:name w:val="toc 6"/>
    <w:basedOn w:val="Normal"/>
    <w:next w:val="Normal"/>
    <w:pPr>
      <w:tabs>
        <w:tab w:val="clear" w:pos="720"/>
        <w:tab w:val="right" w:pos="9360" w:leader="none"/>
      </w:tabs>
      <w:suppressAutoHyphens w:val="true"/>
      <w:ind w:hanging="720" w:start="720" w:end="0"/>
    </w:pPr>
    <w:rPr/>
  </w:style>
  <w:style w:type="paragraph" w:styleId="TOC7">
    <w:name w:val="toc 7"/>
    <w:basedOn w:val="Normal"/>
    <w:next w:val="Normal"/>
    <w:pPr>
      <w:suppressAutoHyphens w:val="true"/>
      <w:ind w:hanging="720" w:start="720" w:end="0"/>
    </w:pPr>
    <w:rPr/>
  </w:style>
  <w:style w:type="paragraph" w:styleId="TOC8">
    <w:name w:val="toc 8"/>
    <w:basedOn w:val="Normal"/>
    <w:next w:val="Normal"/>
    <w:pPr>
      <w:tabs>
        <w:tab w:val="clear" w:pos="720"/>
        <w:tab w:val="right" w:pos="9360" w:leader="none"/>
      </w:tabs>
      <w:suppressAutoHyphens w:val="true"/>
      <w:ind w:hanging="720" w:start="720" w:end="0"/>
    </w:pPr>
    <w:rPr/>
  </w:style>
  <w:style w:type="paragraph" w:styleId="TOC9">
    <w:name w:val="toc 9"/>
    <w:basedOn w:val="Normal"/>
    <w:next w:val="Normal"/>
    <w:pPr>
      <w:tabs>
        <w:tab w:val="clear" w:pos="720"/>
        <w:tab w:val="right" w:pos="9360" w:leader="dot"/>
      </w:tabs>
      <w:suppressAutoHyphens w:val="true"/>
      <w:ind w:hanging="720" w:start="720" w:end="0"/>
    </w:pPr>
    <w:rPr/>
  </w:style>
  <w:style w:type="paragraph" w:styleId="Index1">
    <w:name w:val="index 1"/>
    <w:basedOn w:val="Normal"/>
    <w:next w:val="Normal"/>
    <w:pPr>
      <w:tabs>
        <w:tab w:val="clear" w:pos="720"/>
        <w:tab w:val="right" w:pos="9360" w:leader="dot"/>
      </w:tabs>
      <w:suppressAutoHyphens w:val="true"/>
      <w:ind w:hanging="1440" w:start="1440" w:end="720"/>
    </w:pPr>
    <w:rPr/>
  </w:style>
  <w:style w:type="paragraph" w:styleId="Index2">
    <w:name w:val="index 2"/>
    <w:basedOn w:val="Normal"/>
    <w:next w:val="Normal"/>
    <w:pPr>
      <w:tabs>
        <w:tab w:val="clear" w:pos="720"/>
        <w:tab w:val="right" w:pos="9360" w:leader="dot"/>
      </w:tabs>
      <w:suppressAutoHyphens w:val="true"/>
      <w:ind w:hanging="720" w:start="1440" w:end="720"/>
    </w:pPr>
    <w:rPr/>
  </w:style>
  <w:style w:type="paragraph" w:styleId="TOAHeading">
    <w:name w:val="TOA Heading"/>
    <w:basedOn w:val="Normal"/>
    <w:next w:val="Normal"/>
    <w:qFormat/>
    <w:pPr>
      <w:tabs>
        <w:tab w:val="clear" w:pos="720"/>
        <w:tab w:val="right" w:pos="9360" w:leader="none"/>
      </w:tabs>
      <w:suppressAutoHyphens w:val="true"/>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680" w:leader="none"/>
        <w:tab w:val="right" w:pos="9360" w:leader="none"/>
      </w:tabs>
    </w:pPr>
    <w:rPr>
      <w:rFonts w:ascii="Times New Roman" w:hAnsi="Times New Roman" w:cs="Times New Roman"/>
      <w:sz w:val="16"/>
      <w:lang w:eastAsia="en-CA"/>
    </w:rPr>
  </w:style>
  <w:style w:type="paragraph" w:styleId="DocumentMap">
    <w:name w:val="Document Map"/>
    <w:basedOn w:val="Normal"/>
    <w:qFormat/>
    <w:pPr>
      <w:shd w:fill="000080" w:val="clear"/>
    </w:pPr>
    <w:rPr>
      <w:rFonts w:ascii="Tahoma" w:hAnsi="Tahoma" w:cs="Tahoma"/>
    </w:rPr>
  </w:style>
  <w:style w:type="paragraph" w:styleId="CenterBold">
    <w:name w:val="Center Bold"/>
    <w:basedOn w:val="Normal"/>
    <w:qFormat/>
    <w:pPr>
      <w:widowControl/>
      <w:spacing w:before="0" w:after="720"/>
      <w:jc w:val="center"/>
    </w:pPr>
    <w:rPr>
      <w:rFonts w:ascii="Times New Roman" w:hAnsi="Times New Roman" w:cs="Times New Roman"/>
      <w:b/>
      <w:lang w:eastAsia="en-CA"/>
    </w:rPr>
  </w:style>
  <w:style w:type="paragraph" w:styleId="OutHead1">
    <w:name w:val="OutHead1"/>
    <w:basedOn w:val="Normal"/>
    <w:qFormat/>
    <w:pPr>
      <w:keepNext w:val="true"/>
      <w:numPr>
        <w:ilvl w:val="0"/>
        <w:numId w:val="2"/>
      </w:numPr>
      <w:spacing w:before="0" w:after="240"/>
    </w:pPr>
    <w:rPr>
      <w:rFonts w:ascii="Times New Roman Bold;Times New Roman" w:hAnsi="Times New Roman Bold;Times New Roman" w:cs="Times New Roman Bold;Times New Roman"/>
      <w:b/>
      <w:caps/>
    </w:rPr>
  </w:style>
  <w:style w:type="paragraph" w:styleId="DWTNorm">
    <w:name w:val="DWTNorm"/>
    <w:basedOn w:val="Normal"/>
    <w:qFormat/>
    <w:pPr>
      <w:spacing w:lineRule="auto" w:line="480"/>
      <w:ind w:firstLine="720" w:start="0" w:end="0"/>
    </w:pPr>
    <w:rPr>
      <w:lang w:eastAsia="en-CA"/>
    </w:rPr>
  </w:style>
  <w:style w:type="paragraph" w:styleId="OutHead2">
    <w:name w:val="OutHead2"/>
    <w:basedOn w:val="Normal"/>
    <w:next w:val="DWTNorm"/>
    <w:qFormat/>
    <w:pPr>
      <w:keepNext w:val="true"/>
      <w:numPr>
        <w:ilvl w:val="0"/>
        <w:numId w:val="3"/>
      </w:numPr>
      <w:spacing w:before="0" w:after="240"/>
      <w:outlineLvl w:val="1"/>
    </w:pPr>
    <w:rPr>
      <w:b/>
      <w:color w:val="000000"/>
      <w:lang w:eastAsia="en-CA"/>
    </w:rPr>
  </w:style>
  <w:style w:type="paragraph" w:styleId="OutHead3">
    <w:name w:val="OutHead3"/>
    <w:basedOn w:val="Normal"/>
    <w:next w:val="DWTNorm"/>
    <w:qFormat/>
    <w:pPr>
      <w:keepNext w:val="true"/>
      <w:numPr>
        <w:ilvl w:val="0"/>
        <w:numId w:val="3"/>
      </w:numPr>
      <w:spacing w:before="0" w:after="240"/>
      <w:outlineLvl w:val="2"/>
    </w:pPr>
    <w:rPr>
      <w:b/>
      <w:color w:val="000000"/>
      <w:lang w:eastAsia="en-CA"/>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notes" Target="footnotes.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44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2000-07-31T19:20:00Z</dcterms:created>
  <dc:creator>Carol Walske</dc:creator>
  <dc:description/>
  <dc:language>en-CA</dc:language>
  <cp:lastModifiedBy>Carol Walske</cp:lastModifiedBy>
  <cp:lastPrinted>2000-07-31T15:46:00Z</cp:lastPrinted>
  <dcterms:modified xsi:type="dcterms:W3CDTF">2000-07-31T20:18:00Z</dcterms:modified>
  <cp:revision>8</cp:revision>
  <dc:subject/>
  <dc:title>NORTHWEST PIPELINE CORPORATION</dc:title>
</cp:coreProperties>
</file>