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tab/>
        <w:tab/>
        <w:tab/>
        <w:tab/>
        <w:tab/>
        <w:tab/>
        <w:t>DRAFT of January 26, 2001</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February 1, 2001</w:t>
      </w:r>
    </w:p>
    <w:p>
      <w:pPr>
        <w:pStyle w:val="Normal"/>
        <w:widowControl/>
        <w:rPr/>
      </w:pPr>
      <w:r>
        <w:rPr/>
      </w:r>
    </w:p>
    <w:p>
      <w:pPr>
        <w:pStyle w:val="Normal"/>
        <w:widowControl/>
        <w:rPr/>
      </w:pPr>
      <w:r>
        <w:rPr/>
      </w:r>
    </w:p>
    <w:p>
      <w:pPr>
        <w:pStyle w:val="Normal"/>
        <w:widowControl/>
        <w:rPr/>
      </w:pPr>
      <w:r>
        <w:rPr/>
        <w:t>Paul Clannon</w:t>
      </w:r>
    </w:p>
    <w:p>
      <w:pPr>
        <w:pStyle w:val="Normal"/>
        <w:widowControl/>
        <w:rPr/>
      </w:pPr>
      <w:r>
        <w:rPr/>
        <w:t>Director, Energy Division</w:t>
      </w:r>
    </w:p>
    <w:p>
      <w:pPr>
        <w:pStyle w:val="Normal"/>
        <w:widowControl/>
        <w:rPr/>
      </w:pPr>
      <w:r>
        <w:rPr/>
        <w:t>California Public Utilities Commission</w:t>
      </w:r>
    </w:p>
    <w:p>
      <w:pPr>
        <w:pStyle w:val="Normal"/>
        <w:widowControl/>
        <w:rPr/>
      </w:pPr>
      <w:r>
        <w:rPr/>
        <w:t>505 Van Ness Avenue</w:t>
      </w:r>
    </w:p>
    <w:p>
      <w:pPr>
        <w:pStyle w:val="Normal"/>
        <w:widowControl/>
        <w:rPr/>
      </w:pPr>
      <w:r>
        <w:rPr/>
        <w:t>San Francisco, California  94102</w:t>
      </w:r>
    </w:p>
    <w:p>
      <w:pPr>
        <w:pStyle w:val="Normal"/>
        <w:widowControl/>
        <w:rPr/>
      </w:pPr>
      <w:r>
        <w:rPr/>
      </w:r>
    </w:p>
    <w:p>
      <w:pPr>
        <w:pStyle w:val="Normal"/>
        <w:widowControl/>
        <w:ind w:hanging="720" w:start="720" w:end="0"/>
        <w:rPr/>
      </w:pPr>
      <w:r>
        <w:rPr/>
        <w:t>Re:</w:t>
        <w:tab/>
      </w:r>
      <w:r>
        <w:rPr>
          <w:b/>
          <w:bCs/>
        </w:rPr>
        <w:t>Natural Gas Storage Capacity Allocated to PG&amp;E Balancing Service, D.00</w:t>
        <w:noBreakHyphen/>
        <w:t>05</w:t>
        <w:noBreakHyphen/>
        <w:t>049, in Gas Strategy Rulemaking</w:t>
      </w:r>
    </w:p>
    <w:p>
      <w:pPr>
        <w:pStyle w:val="Footer"/>
        <w:widowControl/>
        <w:tabs>
          <w:tab w:val="clear" w:pos="4680"/>
          <w:tab w:val="clear" w:pos="9360"/>
        </w:tabs>
        <w:rPr/>
      </w:pPr>
      <w:r>
        <w:rPr/>
      </w:r>
    </w:p>
    <w:p>
      <w:pPr>
        <w:pStyle w:val="Footer"/>
        <w:widowControl/>
        <w:tabs>
          <w:tab w:val="clear" w:pos="4680"/>
          <w:tab w:val="clear" w:pos="9360"/>
        </w:tabs>
        <w:rPr/>
      </w:pPr>
      <w:r>
        <w:rPr/>
      </w:r>
    </w:p>
    <w:p>
      <w:pPr>
        <w:pStyle w:val="Normal"/>
        <w:widowControl/>
        <w:rPr/>
      </w:pPr>
      <w:r>
        <w:rPr/>
        <w:t>Dear Mr. Clannon:</w:t>
      </w:r>
    </w:p>
    <w:p>
      <w:pPr>
        <w:pStyle w:val="Normal"/>
        <w:widowControl/>
        <w:rPr/>
      </w:pPr>
      <w:r>
        <w:rPr/>
      </w:r>
    </w:p>
    <w:p>
      <w:pPr>
        <w:pStyle w:val="Normal"/>
        <w:widowControl/>
        <w:ind w:firstLine="720" w:end="0"/>
        <w:rPr/>
      </w:pPr>
      <w:r>
        <w:rPr/>
        <w:t>PG&amp;E is providing this report regarding storage allocated to natural gas balancing service in order to comply with requirements in D.00</w:t>
        <w:noBreakHyphen/>
        <w:t>05</w:t>
        <w:noBreakHyphen/>
        <w:t xml:space="preserve">049, the CPUC Decision Approving the Comprehensive Settlement (OII Settlement) As To PG&amp;E In The Gas Strategy OII. </w:t>
      </w:r>
    </w:p>
    <w:p>
      <w:pPr>
        <w:pStyle w:val="Normal"/>
        <w:widowControl/>
        <w:ind w:firstLine="720" w:end="0"/>
        <w:rPr/>
      </w:pPr>
      <w:r>
        <w:rPr/>
        <w:t xml:space="preserve"> </w:t>
      </w:r>
    </w:p>
    <w:p>
      <w:pPr>
        <w:pStyle w:val="Normal"/>
        <w:widowControl/>
        <w:ind w:firstLine="720" w:end="0"/>
        <w:rPr/>
      </w:pPr>
      <w:r>
        <w:rPr/>
        <w:t xml:space="preserve">Section 2.1.3.7 of the OII Settlement Agreement provides that “[b]y February 1, 2001, the OFO (Operational Flow Order) Forum will recommend to the Commission whether the amount of storage capacity allocated to balancing service should be revised.”  OFOs are one of the tools used on PG&amp;E’s gas system to balance the gas received on the system and the gas delivered from the system.  The OFO Forum is a group established by D.00-02-050, approving the OFO Settlement in the Gas Strategy OII, to monitor and discuss various issues related to OFOs on PG&amp;E’s system. </w:t>
      </w:r>
    </w:p>
    <w:p>
      <w:pPr>
        <w:pStyle w:val="Normal"/>
        <w:widowControl/>
        <w:ind w:firstLine="720" w:end="0"/>
        <w:rPr/>
      </w:pPr>
      <w:r>
        <w:rPr/>
      </w:r>
    </w:p>
    <w:p>
      <w:pPr>
        <w:pStyle w:val="Normal"/>
        <w:widowControl/>
        <w:ind w:firstLine="720" w:end="0"/>
        <w:rPr/>
      </w:pPr>
      <w:r>
        <w:rPr/>
        <w:t>PG&amp;E has provided information to the OFO Forum, including an analysis of the costs to increase storage allocated to balancing and the potential impact on OFOs,</w:t>
      </w:r>
      <w:r>
        <w:rPr>
          <w:rStyle w:val="FootnoteCharacters"/>
          <w:rStyle w:val="FootnoteReference"/>
        </w:rPr>
        <w:footnoteReference w:id="2"/>
      </w:r>
      <w:r>
        <w:rPr/>
        <w:t xml:space="preserve"> and a detailed report on the OFO events</w:t>
      </w:r>
      <w:r>
        <w:rPr>
          <w:rStyle w:val="FootnoteCharacters"/>
          <w:rStyle w:val="FootnoteReference"/>
        </w:rPr>
        <w:footnoteReference w:id="3"/>
      </w:r>
      <w:r>
        <w:rPr/>
        <w:t xml:space="preserve"> following the implementation of the OFO Settlement.  Subsequently the OFO Forum met on August 29, 2000, and discussed the storage allocated to balancing issue among others.  The participants in that Forum agreed that given the reduction in OFOs following the OFO Settlement, no action was needed during the term of the OFO and OII Settlements to revise the amount of storage capacity allocated to balancing.  The participants agreed that this issue should also be considered as part of the Gas Accord II discussions.  All the parties on the e-mail service list for negotiations in the Gas OII (I.99-07-003) were informed of this recommendation and were asked if they had concerns or comments.  No party opposed this recommendation.</w:t>
      </w:r>
    </w:p>
    <w:p>
      <w:pPr>
        <w:pStyle w:val="Normal"/>
        <w:widowControl/>
        <w:ind w:firstLine="720" w:end="0"/>
        <w:rPr/>
      </w:pPr>
      <w:r>
        <w:rPr/>
      </w:r>
    </w:p>
    <w:p>
      <w:pPr>
        <w:pStyle w:val="Normal"/>
        <w:widowControl/>
        <w:ind w:firstLine="720" w:end="0"/>
        <w:rPr/>
      </w:pPr>
      <w:r>
        <w:rPr/>
        <w:t xml:space="preserve">In order to insure that the recommendations of the OFO Forum on this issue were addressed in a timely fashion, Ordering Paragraph 4 in D.00-05-049 stated that “PG&amp;E shall address the issue of storage capacity allocated to balancing service by filing an application with the Commission no later than March 1, 2001.”  Since the OFO Forum does not recommend any change at this time, it is PG&amp;E’s understanding that no further action is needed in I.99-07-003 on the issue of the allocation of storage capacity to balancing services, and that an application does not need to be filed in response to Ordering Paragraph 4 of D.00-05-049.  </w:t>
      </w:r>
    </w:p>
    <w:p>
      <w:pPr>
        <w:pStyle w:val="Normal"/>
        <w:widowControl/>
        <w:ind w:firstLine="720" w:end="0"/>
        <w:rPr/>
      </w:pPr>
      <w:r>
        <w:rPr/>
      </w:r>
    </w:p>
    <w:p>
      <w:pPr>
        <w:pStyle w:val="Normal"/>
        <w:widowControl/>
        <w:ind w:firstLine="720" w:end="0"/>
        <w:rPr/>
      </w:pPr>
      <w:r>
        <w:rPr/>
        <w:t>If you have any questions on this matter, feel free to call Brian Cherry at 415-973-4977 or myself at 415-973-2179.</w:t>
      </w:r>
    </w:p>
    <w:p>
      <w:pPr>
        <w:pStyle w:val="Normal"/>
        <w:widowControl/>
        <w:ind w:firstLine="720" w:end="0"/>
        <w:rPr/>
      </w:pPr>
      <w:r>
        <w:rPr/>
      </w:r>
    </w:p>
    <w:p>
      <w:pPr>
        <w:pStyle w:val="Normal"/>
        <w:widowControl/>
        <w:ind w:firstLine="720" w:start="3600" w:end="0"/>
        <w:rPr/>
      </w:pPr>
      <w:r>
        <w:rPr/>
        <w:t>Very truly yours,</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ind w:firstLine="720" w:start="3600" w:end="0"/>
        <w:rPr/>
      </w:pPr>
      <w:r>
        <w:rPr/>
        <w:t>Randall J. Litteneker</w:t>
      </w:r>
    </w:p>
    <w:p>
      <w:pPr>
        <w:pStyle w:val="Normal"/>
        <w:widowControl/>
        <w:rPr/>
      </w:pPr>
      <w:r>
        <w:rPr/>
      </w:r>
    </w:p>
    <w:p>
      <w:pPr>
        <w:pStyle w:val="Normal"/>
        <w:widowControl/>
        <w:rPr/>
      </w:pPr>
      <w:r>
        <w:rPr/>
      </w:r>
    </w:p>
    <w:p>
      <w:pPr>
        <w:pStyle w:val="Normal"/>
        <w:widowControl/>
        <w:rPr/>
      </w:pPr>
      <w:r>
        <w:rPr/>
        <w:t xml:space="preserve">cc:  </w:t>
        <w:tab/>
        <w:t>Wesley M. Franklin, Executive Director</w:t>
      </w:r>
    </w:p>
    <w:p>
      <w:pPr>
        <w:pStyle w:val="Normal"/>
        <w:widowControl/>
        <w:rPr/>
      </w:pPr>
      <w:r>
        <w:rPr/>
        <w:tab/>
        <w:t>Richard A. Myers, Energy Division</w:t>
      </w:r>
    </w:p>
    <w:p>
      <w:pPr>
        <w:pStyle w:val="Normal"/>
        <w:widowControl/>
        <w:rPr/>
      </w:pPr>
      <w:r>
        <w:rPr/>
        <w:tab/>
        <w:t>Administrative Law Judge Andrea Biren</w:t>
      </w:r>
    </w:p>
    <w:p>
      <w:pPr>
        <w:pStyle w:val="Normal"/>
        <w:widowControl/>
        <w:rPr/>
      </w:pPr>
      <w:r>
        <w:rPr/>
        <w:tab/>
        <w:t>Administrative Law Judge John S. Wong</w:t>
      </w:r>
    </w:p>
    <w:p>
      <w:pPr>
        <w:pStyle w:val="Normal"/>
        <w:widowControl/>
        <w:rPr/>
      </w:pPr>
      <w:r>
        <w:rPr/>
        <w:tab/>
        <w:t>All parties on the e-mail service list in I.99-07-003.</w:t>
      </w:r>
    </w:p>
    <w:p>
      <w:pPr>
        <w:pStyle w:val="Normal"/>
        <w:widowControl/>
        <w:rPr/>
      </w:pPr>
      <w:r>
        <w:rPr/>
      </w:r>
    </w:p>
    <w:p>
      <w:pPr>
        <w:pStyle w:val="Normal"/>
        <w:widowControl/>
        <w:rPr/>
      </w:pPr>
      <w:r>
        <w:rPr/>
      </w:r>
    </w:p>
    <w:sectPr>
      <w:headerReference w:type="default" r:id="rId2"/>
      <w:headerReference w:type="first" r:id="rId3"/>
      <w:footnotePr>
        <w:numFmt w:val="decimal"/>
      </w:footnotePr>
      <w:type w:val="nextPage"/>
      <w:pgSz w:w="12240" w:h="15840"/>
      <w:pgMar w:left="1800" w:right="1800" w:gutter="0" w:header="1152"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60"/>
        <w:rPr/>
      </w:pPr>
      <w:r>
        <w:rPr>
          <w:rStyle w:val="FootnoteCharacters"/>
        </w:rPr>
        <w:footnoteRef/>
      </w:r>
      <w:r>
        <w:rPr/>
        <w:t xml:space="preserve"> </w:t>
      </w:r>
      <w:r>
        <w:rPr/>
        <w:tab/>
        <w:t>This report was provided as required by Section C.6.b of the OFO Settlement and by Section 5.1.3 of the OII Settlement.  The report was provided subject to CPUC Rule 51 since it may form the basis for a later settlement, e.g. Gas Accord II.</w:t>
      </w:r>
    </w:p>
  </w:footnote>
  <w:footnote w:id="3">
    <w:p>
      <w:pPr>
        <w:pStyle w:val="FootnoteText"/>
        <w:widowControl/>
        <w:spacing w:before="0" w:after="60"/>
        <w:rPr/>
      </w:pPr>
      <w:r>
        <w:rPr>
          <w:rStyle w:val="FootnoteCharacters"/>
        </w:rPr>
        <w:footnoteRef/>
      </w:r>
      <w:r>
        <w:rPr/>
        <w:t xml:space="preserve"> </w:t>
      </w:r>
      <w:r>
        <w:rPr/>
        <w:tab/>
        <w:t>The OFO Report is provided quarterly as required by Section C.1.f of the OFO Settlement.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Paul Clannon</w:t>
    </w:r>
  </w:p>
  <w:p>
    <w:pPr>
      <w:pStyle w:val="Header"/>
      <w:rPr/>
    </w:pPr>
    <w:r>
      <w:rPr/>
      <w:t>February 1,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0"/>
      <w:outlineLvl w:val="0"/>
    </w:pPr>
    <w:rPr>
      <w:b/>
      <w:bCs/>
      <w:caps/>
    </w:rPr>
  </w:style>
  <w:style w:type="paragraph" w:styleId="Heading2">
    <w:name w:val="heading 2"/>
    <w:basedOn w:val="Heading1"/>
    <w:next w:val="BodyText"/>
    <w:qFormat/>
    <w:pPr>
      <w:keepNext w:val="false"/>
      <w:numPr>
        <w:ilvl w:val="1"/>
        <w:numId w:val="1"/>
      </w:numPr>
      <w:ind w:hanging="720" w:start="1440" w:end="1440"/>
      <w:outlineLvl w:val="1"/>
    </w:pPr>
    <w:rPr>
      <w:caps w:val="false"/>
      <w:smallCaps w:val="false"/>
    </w:rPr>
  </w:style>
  <w:style w:type="paragraph" w:styleId="Heading3">
    <w:name w:val="heading 3"/>
    <w:basedOn w:val="Heading2"/>
    <w:next w:val="BodyText"/>
    <w:qFormat/>
    <w:pPr>
      <w:keepNext w:val="true"/>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Disclaimer">
    <w:name w:val="Disclaimer"/>
    <w:basedOn w:val="Normal"/>
    <w:qFormat/>
    <w:pPr>
      <w:jc w:val="both"/>
    </w:pPr>
    <w:rPr>
      <w:rFonts w:ascii="Arial" w:hAnsi="Arial" w:eastAsia="Arial" w:cs="Arial"/>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60"/>
      <w:ind w:hanging="288" w:start="288" w:end="0"/>
    </w:pPr>
    <w:rPr>
      <w:sz w:val="22"/>
      <w:szCs w:val="22"/>
    </w:rPr>
  </w:style>
  <w:style w:type="paragraph" w:styleId="Header">
    <w:name w:val="header"/>
    <w:basedOn w:val="Normal"/>
    <w:pPr>
      <w:tabs>
        <w:tab w:val="clear" w:pos="720"/>
        <w:tab w:val="center" w:pos="468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ind w:hanging="0" w:start="4680" w:end="-360"/>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4867" w:leader="none"/>
        <w:tab w:val="right" w:pos="9000" w:leader="none"/>
      </w:tabs>
      <w:spacing w:lineRule="exact" w:line="240"/>
      <w:ind w:hanging="4867" w:start="4867" w:end="0"/>
    </w:pPr>
    <w:rPr/>
  </w:style>
  <w:style w:type="paragraph" w:styleId="Quote-1inch">
    <w:name w:val="Quote - 1 inch"/>
    <w:basedOn w:val="Normal"/>
    <w:next w:val="Normal"/>
    <w:qFormat/>
    <w:pPr>
      <w:spacing w:before="240" w:after="0"/>
      <w:ind w:hanging="0" w:start="1440" w:end="1440"/>
    </w:pPr>
    <w:rPr/>
  </w:style>
  <w:style w:type="paragraph" w:styleId="Quote-5inch">
    <w:name w:val="Quote - .5 inch"/>
    <w:basedOn w:val="Normal"/>
    <w:next w:val="Normal"/>
    <w:qFormat/>
    <w:pPr>
      <w:spacing w:before="240" w:after="0"/>
      <w:ind w:hanging="0" w:start="720" w:end="720"/>
    </w:pPr>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TOAHeading">
    <w:name w:val="TOA Heading"/>
    <w:basedOn w:val="Normal"/>
    <w:next w:val="TableofAuthorities"/>
    <w:qFormat/>
    <w:pPr>
      <w:keepNext w:val="true"/>
      <w:spacing w:before="120" w:after="120"/>
    </w:pPr>
    <w:rPr>
      <w:b/>
      <w:bCs/>
      <w:smallCaps/>
    </w:rPr>
  </w:style>
  <w:style w:type="paragraph" w:styleId="TOC1">
    <w:name w:val="toc 1"/>
    <w:basedOn w:val="Normal"/>
    <w:pPr>
      <w:keepLines/>
      <w:tabs>
        <w:tab w:val="clear" w:pos="720"/>
        <w:tab w:val="right" w:pos="9360" w:leader="dot"/>
      </w:tabs>
      <w:spacing w:before="0" w:after="120"/>
      <w:ind w:hanging="806" w:start="806" w:end="1440"/>
    </w:pPr>
    <w:rPr>
      <w:caps/>
    </w:rPr>
  </w:style>
  <w:style w:type="paragraph" w:styleId="TOC2">
    <w:name w:val="toc 2"/>
    <w:basedOn w:val="Normal"/>
    <w:pPr>
      <w:tabs>
        <w:tab w:val="clear" w:pos="720"/>
        <w:tab w:val="right" w:pos="9360" w:leader="dot"/>
      </w:tabs>
      <w:spacing w:before="0" w:after="120"/>
      <w:ind w:hanging="634" w:start="1440" w:end="1440"/>
    </w:pPr>
    <w:rPr/>
  </w:style>
  <w:style w:type="paragraph" w:styleId="TOC3">
    <w:name w:val="toc 3"/>
    <w:basedOn w:val="Normal"/>
    <w:pPr>
      <w:keepLines/>
      <w:tabs>
        <w:tab w:val="clear" w:pos="720"/>
        <w:tab w:val="right" w:pos="9360" w:leader="dot"/>
      </w:tabs>
      <w:spacing w:before="0" w:after="120"/>
      <w:ind w:hanging="720" w:start="2160" w:end="1440"/>
    </w:pPr>
    <w:rPr/>
  </w:style>
  <w:style w:type="paragraph" w:styleId="TOC4">
    <w:name w:val="toc 4"/>
    <w:basedOn w:val="Normal"/>
    <w:pPr>
      <w:keepLines/>
      <w:tabs>
        <w:tab w:val="clear" w:pos="720"/>
        <w:tab w:val="right" w:pos="9360" w:leader="dot"/>
      </w:tabs>
      <w:spacing w:before="0" w:after="120"/>
      <w:ind w:hanging="720" w:start="2880" w:end="1440"/>
    </w:pPr>
    <w:rPr/>
  </w:style>
  <w:style w:type="paragraph" w:styleId="TOC5">
    <w:name w:val="toc 5"/>
    <w:basedOn w:val="Normal"/>
    <w:pPr>
      <w:keepLines/>
      <w:tabs>
        <w:tab w:val="clear" w:pos="720"/>
        <w:tab w:val="right" w:pos="9360" w:leader="dot"/>
      </w:tabs>
      <w:spacing w:before="0" w:after="120"/>
      <w:ind w:hanging="720" w:start="3600" w:end="1440"/>
    </w:pPr>
    <w:rPr/>
  </w:style>
  <w:style w:type="paragraph" w:styleId="TOC6">
    <w:name w:val="toc 6"/>
    <w:basedOn w:val="Normal"/>
    <w:pPr>
      <w:keepLines/>
      <w:tabs>
        <w:tab w:val="clear" w:pos="720"/>
        <w:tab w:val="right" w:pos="9360" w:leader="dot"/>
      </w:tabs>
      <w:spacing w:before="0" w:after="120"/>
      <w:ind w:hanging="720" w:start="4320" w:end="1440"/>
    </w:pPr>
    <w:rPr/>
  </w:style>
  <w:style w:type="paragraph" w:styleId="TOC7">
    <w:name w:val="toc 7"/>
    <w:basedOn w:val="Normal"/>
    <w:pPr>
      <w:keepLines/>
      <w:tabs>
        <w:tab w:val="clear" w:pos="720"/>
        <w:tab w:val="right" w:pos="9360" w:leader="dot"/>
      </w:tabs>
      <w:spacing w:before="0" w:after="120"/>
      <w:ind w:hanging="806" w:start="5126" w:end="1440"/>
    </w:pPr>
    <w:rPr/>
  </w:style>
  <w:style w:type="paragraph" w:styleId="TOC8">
    <w:name w:val="toc 8"/>
    <w:basedOn w:val="Normal"/>
    <w:pPr>
      <w:keepLines/>
      <w:tabs>
        <w:tab w:val="clear" w:pos="720"/>
        <w:tab w:val="right" w:pos="9360" w:leader="dot"/>
      </w:tabs>
      <w:spacing w:before="0" w:after="120"/>
      <w:ind w:hanging="634" w:start="5760" w:end="1440"/>
    </w:pPr>
    <w:rPr/>
  </w:style>
  <w:style w:type="paragraph" w:styleId="TOC9">
    <w:name w:val="toc 9"/>
    <w:basedOn w:val="Normal"/>
    <w:pPr>
      <w:keepLines/>
      <w:tabs>
        <w:tab w:val="clear" w:pos="720"/>
        <w:tab w:val="right" w:pos="9360" w:leader="dot"/>
      </w:tabs>
      <w:spacing w:before="0" w:after="120"/>
      <w:ind w:hanging="720" w:start="6480" w:end="14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2001-01-26T18:28:00Z</dcterms:created>
  <dc:creator>Randall Litteneker</dc:creator>
  <dc:description/>
  <dc:language>en-CA</dc:language>
  <cp:lastModifiedBy>Randall Litteneker</cp:lastModifiedBy>
  <cp:lastPrinted>2001-01-24T15:12:00Z</cp:lastPrinted>
  <dcterms:modified xsi:type="dcterms:W3CDTF">2001-01-26T18:29:00Z</dcterms:modified>
  <cp:revision>3</cp:revision>
  <dc:subject/>
  <dc:title>Gas OII</dc:title>
</cp:coreProperties>
</file>