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szCs w:val="24"/>
        </w:rPr>
      </w:pPr>
      <w:r>
        <w:rPr>
          <w:sz w:val="24"/>
          <w:szCs w:val="24"/>
        </w:rPr>
        <w:t>Promising Gas Options OII – I.99-07-003</w:t>
      </w:r>
    </w:p>
    <w:p>
      <w:pPr>
        <w:pStyle w:val="Normal"/>
        <w:jc w:val="center"/>
        <w:rPr>
          <w:rFonts w:ascii="Bookman Old Style" w:hAnsi="Bookman Old Style" w:eastAsia="Bookman Old Style" w:cs="Bookman Old Style"/>
          <w:b/>
          <w:bCs/>
          <w:sz w:val="26"/>
          <w:szCs w:val="26"/>
        </w:rPr>
      </w:pPr>
      <w:r>
        <w:rPr>
          <w:rFonts w:eastAsia="Bookman Old Style" w:cs="Bookman Old Style" w:ascii="Bookman Old Style" w:hAnsi="Bookman Old Style"/>
          <w:b/>
          <w:bCs/>
          <w:sz w:val="26"/>
          <w:szCs w:val="26"/>
        </w:rPr>
        <w:t>OFO Settlement Agreement in Relation to</w:t>
      </w:r>
    </w:p>
    <w:p>
      <w:pPr>
        <w:pStyle w:val="Normal"/>
        <w:jc w:val="center"/>
        <w:rPr>
          <w:rFonts w:ascii="Bookman Old Style" w:hAnsi="Bookman Old Style" w:eastAsia="Bookman Old Style" w:cs="Bookman Old Style"/>
          <w:b/>
          <w:bCs/>
          <w:sz w:val="26"/>
          <w:szCs w:val="26"/>
        </w:rPr>
      </w:pPr>
      <w:r>
        <w:rPr>
          <w:rFonts w:eastAsia="Bookman Old Style" w:cs="Bookman Old Style" w:ascii="Bookman Old Style" w:hAnsi="Bookman Old Style"/>
          <w:b/>
          <w:bCs/>
          <w:sz w:val="26"/>
          <w:szCs w:val="26"/>
        </w:rPr>
        <w:t>Gas Accord Revisions</w:t>
      </w:r>
    </w:p>
    <w:p>
      <w:pPr>
        <w:pStyle w:val="Bullet1-Memo"/>
        <w:tabs>
          <w:tab w:val="clear" w:pos="720"/>
          <w:tab w:val="left" w:pos="1350" w:leader="none"/>
          <w:tab w:val="left" w:pos="6210" w:leader="none"/>
        </w:tabs>
        <w:ind w:hanging="0" w:start="0" w:end="0"/>
        <w:jc w:val="center"/>
        <w:rPr>
          <w:sz w:val="24"/>
          <w:szCs w:val="24"/>
        </w:rPr>
      </w:pPr>
      <w:bookmarkStart w:id="0" w:name="DocumentDate"/>
      <w:r>
        <w:rPr>
          <w:sz w:val="24"/>
          <w:szCs w:val="24"/>
        </w:rPr>
        <w:t>November 22, 1999</w:t>
      </w:r>
      <w:bookmarkEnd w:id="0"/>
    </w:p>
    <w:p>
      <w:pPr>
        <w:pStyle w:val="Bullet1-Memo"/>
        <w:tabs>
          <w:tab w:val="clear" w:pos="720"/>
          <w:tab w:val="left" w:pos="1350" w:leader="none"/>
          <w:tab w:val="left" w:pos="6210" w:leader="none"/>
        </w:tabs>
        <w:ind w:hanging="0" w:start="0" w:end="0"/>
        <w:rPr>
          <w:sz w:val="16"/>
          <w:szCs w:val="16"/>
        </w:rPr>
      </w:pPr>
      <w:r>
        <w:rPr>
          <w:sz w:val="16"/>
          <w:szCs w:val="16"/>
        </w:rPr>
      </w:r>
    </w:p>
    <w:tbl>
      <w:tblPr>
        <w:tblW w:w="14508" w:type="dxa"/>
        <w:jc w:val="start"/>
        <w:tblInd w:w="0" w:type="dxa"/>
        <w:tblLayout w:type="fixed"/>
        <w:tblCellMar>
          <w:top w:w="0" w:type="dxa"/>
          <w:start w:w="108" w:type="dxa"/>
          <w:bottom w:w="0" w:type="dxa"/>
          <w:end w:w="108" w:type="dxa"/>
        </w:tblCellMar>
      </w:tblPr>
      <w:tblGrid>
        <w:gridCol w:w="1008"/>
        <w:gridCol w:w="3240"/>
        <w:gridCol w:w="1080"/>
        <w:gridCol w:w="4860"/>
        <w:gridCol w:w="4320"/>
      </w:tblGrid>
      <w:tr>
        <w:trPr>
          <w:tblHeader w:val="true"/>
        </w:trPr>
        <w:tc>
          <w:tcPr>
            <w:tcW w:w="4248" w:type="dxa"/>
            <w:gridSpan w:val="2"/>
            <w:tcBorders>
              <w:top w:val="single" w:sz="18" w:space="0" w:color="000000"/>
              <w:start w:val="single" w:sz="18" w:space="0" w:color="000000"/>
              <w:bottom w:val="single" w:sz="6" w:space="0" w:color="000000"/>
              <w:end w:val="single" w:sz="6" w:space="0" w:color="000000"/>
            </w:tcBorders>
          </w:tcPr>
          <w:p>
            <w:pPr>
              <w:pStyle w:val="Bullet1-Memo"/>
              <w:spacing w:before="40" w:after="40"/>
              <w:ind w:hanging="0" w:start="0" w:end="0"/>
              <w:jc w:val="center"/>
              <w:rPr>
                <w:b/>
                <w:bCs/>
                <w:sz w:val="22"/>
                <w:szCs w:val="22"/>
              </w:rPr>
            </w:pPr>
            <w:r>
              <w:rPr>
                <w:b/>
                <w:bCs/>
                <w:sz w:val="22"/>
                <w:szCs w:val="22"/>
              </w:rPr>
              <w:t>OFO Settlement Agreement</w:t>
            </w:r>
          </w:p>
        </w:tc>
        <w:tc>
          <w:tcPr>
            <w:tcW w:w="5940" w:type="dxa"/>
            <w:gridSpan w:val="2"/>
            <w:tcBorders>
              <w:top w:val="single" w:sz="18" w:space="0" w:color="000000"/>
              <w:start w:val="double" w:sz="6" w:space="0" w:color="000000"/>
              <w:bottom w:val="single" w:sz="6" w:space="0" w:color="000000"/>
              <w:end w:val="single" w:sz="6" w:space="0" w:color="000000"/>
            </w:tcBorders>
          </w:tcPr>
          <w:p>
            <w:pPr>
              <w:pStyle w:val="Bullet1-Memo"/>
              <w:spacing w:before="40" w:after="40"/>
              <w:ind w:hanging="0" w:start="0" w:end="0"/>
              <w:jc w:val="center"/>
              <w:rPr>
                <w:b/>
                <w:bCs/>
                <w:sz w:val="22"/>
                <w:szCs w:val="22"/>
              </w:rPr>
            </w:pPr>
            <w:r>
              <w:rPr>
                <w:b/>
                <w:bCs/>
                <w:sz w:val="22"/>
                <w:szCs w:val="22"/>
              </w:rPr>
              <w:t>Gas Accord Settlement Agreement</w:t>
            </w:r>
          </w:p>
        </w:tc>
        <w:tc>
          <w:tcPr>
            <w:tcW w:w="4320" w:type="dxa"/>
            <w:tcBorders>
              <w:top w:val="single" w:sz="18" w:space="0" w:color="000000"/>
              <w:start w:val="double" w:sz="6" w:space="0" w:color="000000"/>
              <w:bottom w:val="dashed" w:sz="6" w:space="0" w:color="auto"/>
              <w:end w:val="single" w:sz="18" w:space="0" w:color="000000"/>
            </w:tcBorders>
          </w:tcPr>
          <w:p>
            <w:pPr>
              <w:pStyle w:val="Bullet1-Memo"/>
              <w:snapToGrid w:val="false"/>
              <w:spacing w:before="40" w:after="40"/>
              <w:ind w:hanging="0" w:start="0" w:end="0"/>
              <w:rPr>
                <w:b/>
                <w:bCs/>
                <w:sz w:val="22"/>
                <w:szCs w:val="22"/>
              </w:rPr>
            </w:pPr>
            <w:r>
              <w:rPr>
                <w:b/>
                <w:bCs/>
                <w:sz w:val="22"/>
                <w:szCs w:val="22"/>
              </w:rPr>
            </w:r>
          </w:p>
        </w:tc>
      </w:tr>
      <w:tr>
        <w:trPr>
          <w:tblHeader w:val="true"/>
        </w:trPr>
        <w:tc>
          <w:tcPr>
            <w:tcW w:w="1008" w:type="dxa"/>
            <w:tcBorders>
              <w:top w:val="dashed" w:sz="6" w:space="0" w:color="auto"/>
              <w:start w:val="single" w:sz="18" w:space="0" w:color="000000"/>
              <w:bottom w:val="single" w:sz="6" w:space="0" w:color="000000"/>
              <w:end w:val="single" w:sz="6" w:space="0" w:color="000000"/>
            </w:tcBorders>
          </w:tcPr>
          <w:p>
            <w:pPr>
              <w:pStyle w:val="Bullet1-Memo"/>
              <w:spacing w:before="40" w:after="40"/>
              <w:ind w:hanging="0" w:start="0" w:end="0"/>
              <w:rPr>
                <w:b/>
                <w:bCs/>
                <w:sz w:val="22"/>
                <w:szCs w:val="22"/>
              </w:rPr>
            </w:pPr>
            <w:r>
              <w:rPr>
                <w:b/>
                <w:bCs/>
                <w:sz w:val="22"/>
                <w:szCs w:val="22"/>
              </w:rPr>
              <w:t>Section</w:t>
            </w:r>
          </w:p>
        </w:tc>
        <w:tc>
          <w:tcPr>
            <w:tcW w:w="324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b/>
                <w:bCs/>
                <w:sz w:val="22"/>
                <w:szCs w:val="22"/>
              </w:rPr>
            </w:pPr>
            <w:r>
              <w:rPr>
                <w:b/>
                <w:bCs/>
                <w:sz w:val="22"/>
                <w:szCs w:val="22"/>
              </w:rPr>
              <w:t>Content</w:t>
            </w:r>
          </w:p>
        </w:tc>
        <w:tc>
          <w:tcPr>
            <w:tcW w:w="1080" w:type="dxa"/>
            <w:tcBorders>
              <w:top w:val="dashed" w:sz="6" w:space="0" w:color="auto"/>
              <w:start w:val="double" w:sz="6" w:space="0" w:color="000000"/>
              <w:bottom w:val="single" w:sz="6" w:space="0" w:color="000000"/>
              <w:end w:val="single" w:sz="6" w:space="0" w:color="000000"/>
            </w:tcBorders>
          </w:tcPr>
          <w:p>
            <w:pPr>
              <w:pStyle w:val="Bullet1-Memo"/>
              <w:spacing w:before="40" w:after="40"/>
              <w:ind w:hanging="0" w:start="0" w:end="0"/>
              <w:rPr>
                <w:b/>
                <w:bCs/>
                <w:sz w:val="22"/>
                <w:szCs w:val="22"/>
              </w:rPr>
            </w:pPr>
            <w:r>
              <w:rPr>
                <w:b/>
                <w:bCs/>
                <w:sz w:val="22"/>
                <w:szCs w:val="22"/>
              </w:rPr>
              <w:t>Section</w:t>
            </w:r>
          </w:p>
        </w:tc>
        <w:tc>
          <w:tcPr>
            <w:tcW w:w="486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b/>
                <w:bCs/>
                <w:sz w:val="22"/>
                <w:szCs w:val="22"/>
              </w:rPr>
            </w:pPr>
            <w:r>
              <w:rPr>
                <w:b/>
                <w:bCs/>
                <w:sz w:val="22"/>
                <w:szCs w:val="22"/>
              </w:rPr>
              <w:t>Contents</w:t>
            </w:r>
          </w:p>
        </w:tc>
        <w:tc>
          <w:tcPr>
            <w:tcW w:w="4320" w:type="dxa"/>
            <w:tcBorders>
              <w:top w:val="dashed" w:sz="6" w:space="0" w:color="auto"/>
              <w:start w:val="double" w:sz="6" w:space="0" w:color="000000"/>
              <w:bottom w:val="single" w:sz="6" w:space="0" w:color="000000"/>
              <w:end w:val="single" w:sz="18" w:space="0" w:color="000000"/>
            </w:tcBorders>
          </w:tcPr>
          <w:p>
            <w:pPr>
              <w:pStyle w:val="Bullet1-Memo"/>
              <w:spacing w:before="40" w:after="40"/>
              <w:ind w:hanging="0" w:start="0" w:end="0"/>
              <w:rPr>
                <w:b/>
                <w:bCs/>
                <w:sz w:val="22"/>
                <w:szCs w:val="22"/>
              </w:rPr>
            </w:pPr>
            <w:r>
              <w:rPr>
                <w:b/>
                <w:bCs/>
                <w:sz w:val="22"/>
                <w:szCs w:val="22"/>
              </w:rPr>
              <w:t>Change to Gas Accord</w:t>
            </w:r>
          </w:p>
        </w:tc>
      </w:tr>
      <w:tr>
        <w:trPr/>
        <w:tc>
          <w:tcPr>
            <w:tcW w:w="1008" w:type="dxa"/>
            <w:tcBorders>
              <w:top w:val="dashed" w:sz="6" w:space="0" w:color="auto"/>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A.</w:t>
            </w:r>
          </w:p>
        </w:tc>
        <w:tc>
          <w:tcPr>
            <w:tcW w:w="324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States purposes of the Settlement.  States that the Settlement does not change basic principles and structure of the Gas Accord, but is intended to modify certain limited implementation parameters.  The Settlement Parties agree that such revisions are within the original bounds of the Gas Accord structure.</w:t>
            </w:r>
          </w:p>
        </w:tc>
        <w:tc>
          <w:tcPr>
            <w:tcW w:w="1080" w:type="dxa"/>
            <w:tcBorders>
              <w:top w:val="dashed" w:sz="6" w:space="0" w:color="auto"/>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II.E.13.</w:t>
              <w:br/>
              <w:t>g.iii</w:t>
              <w:br/>
              <w:t>p. 28</w:t>
            </w:r>
          </w:p>
        </w:tc>
        <w:tc>
          <w:tcPr>
            <w:tcW w:w="486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PG&amp;E reserves the right to propose other measures to ensure system integrity should the OFO and/or EFO provisions not prove to be adequate.</w:t>
            </w:r>
          </w:p>
        </w:tc>
        <w:tc>
          <w:tcPr>
            <w:tcW w:w="4320" w:type="dxa"/>
            <w:tcBorders>
              <w:top w:val="dashed" w:sz="6" w:space="0" w:color="auto"/>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None, in terms of principles and structure.  Changes are to implementation details as outlined below, and are consistent with ensuring system integrity.</w:t>
            </w:r>
          </w:p>
        </w:tc>
      </w:tr>
      <w:tr>
        <w:trPr/>
        <w:tc>
          <w:tcPr>
            <w:tcW w:w="1008" w:type="dxa"/>
            <w:tcBorders>
              <w:top w:val="dashed" w:sz="6" w:space="0" w:color="auto"/>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B.</w:t>
            </w:r>
          </w:p>
        </w:tc>
        <w:tc>
          <w:tcPr>
            <w:tcW w:w="324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Establishing a Gas OFO Forum, including addressing issues around customer-specific OFOs, significant contributors to OFOs, changing the noncompliance charge exemption, allocating more storage to balancing, and changing the cash-out procedures.</w:t>
            </w:r>
          </w:p>
        </w:tc>
        <w:tc>
          <w:tcPr>
            <w:tcW w:w="1080" w:type="dxa"/>
            <w:tcBorders>
              <w:top w:val="dashed" w:sz="6" w:space="0" w:color="auto"/>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w:t>
            </w:r>
          </w:p>
        </w:tc>
        <w:tc>
          <w:tcPr>
            <w:tcW w:w="486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Nothing in the Gas Accord precludes establishing a Gas OFO Forum or its consideration of issues.</w:t>
            </w:r>
          </w:p>
        </w:tc>
        <w:tc>
          <w:tcPr>
            <w:tcW w:w="4320" w:type="dxa"/>
            <w:tcBorders>
              <w:top w:val="dashed" w:sz="6" w:space="0" w:color="auto"/>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None.</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C.1.a-c</w:t>
            </w:r>
          </w:p>
        </w:tc>
        <w:tc>
          <w:tcPr>
            <w:tcW w:w="324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Providing Operational Forecast Data during the day and historically.</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w:t>
            </w:r>
          </w:p>
        </w:tc>
        <w:tc>
          <w:tcPr>
            <w:tcW w:w="486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Gas Accord does not limit the information which PG&amp;E can provide to the market.</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None.  Any costs to provide this information will be absorbed by PG&amp;E.  No rate adjustments or balancing accounts.</w:t>
            </w:r>
          </w:p>
        </w:tc>
      </w:tr>
      <w:tr>
        <w:trPr/>
        <w:tc>
          <w:tcPr>
            <w:tcW w:w="1008" w:type="dxa"/>
            <w:tcBorders>
              <w:top w:val="single" w:sz="6" w:space="0" w:color="000000"/>
              <w:start w:val="single" w:sz="18" w:space="0" w:color="000000"/>
              <w:bottom w:val="dashed" w:sz="6" w:space="0" w:color="auto"/>
              <w:end w:val="single" w:sz="6" w:space="0" w:color="000000"/>
            </w:tcBorders>
          </w:tcPr>
          <w:p>
            <w:pPr>
              <w:pStyle w:val="Bullet1-Memo"/>
              <w:spacing w:before="40" w:after="40"/>
              <w:ind w:hanging="0" w:start="0" w:end="0"/>
              <w:rPr>
                <w:sz w:val="22"/>
                <w:szCs w:val="22"/>
              </w:rPr>
            </w:pPr>
            <w:r>
              <w:rPr>
                <w:sz w:val="22"/>
                <w:szCs w:val="22"/>
              </w:rPr>
              <w:t>C.1.d</w:t>
            </w:r>
          </w:p>
        </w:tc>
        <w:tc>
          <w:tcPr>
            <w:tcW w:w="3240" w:type="dxa"/>
            <w:tcBorders>
              <w:top w:val="single" w:sz="6" w:space="0" w:color="000000"/>
              <w:start w:val="single" w:sz="6" w:space="0" w:color="000000"/>
              <w:bottom w:val="dashed" w:sz="6" w:space="0" w:color="auto"/>
              <w:end w:val="dashed" w:sz="6" w:space="0" w:color="auto"/>
            </w:tcBorders>
          </w:tcPr>
          <w:p>
            <w:pPr>
              <w:pStyle w:val="Bullet1-Memo"/>
              <w:spacing w:before="40" w:after="40"/>
              <w:ind w:hanging="0" w:start="0" w:end="0"/>
              <w:rPr>
                <w:sz w:val="22"/>
                <w:szCs w:val="22"/>
              </w:rPr>
            </w:pPr>
            <w:r>
              <w:rPr>
                <w:sz w:val="22"/>
                <w:szCs w:val="22"/>
              </w:rPr>
              <w:t>Providing additional operational data updated once each day or monthly.</w:t>
            </w:r>
          </w:p>
        </w:tc>
        <w:tc>
          <w:tcPr>
            <w:tcW w:w="1080" w:type="dxa"/>
            <w:tcBorders>
              <w:top w:val="single" w:sz="6" w:space="0" w:color="000000"/>
              <w:start w:val="double" w:sz="6" w:space="0" w:color="000000"/>
              <w:bottom w:val="dashed" w:sz="6" w:space="0" w:color="auto"/>
              <w:end w:val="single" w:sz="6" w:space="0" w:color="000000"/>
            </w:tcBorders>
          </w:tcPr>
          <w:p>
            <w:pPr>
              <w:pStyle w:val="Bullet1-Memo"/>
              <w:spacing w:before="40" w:after="40"/>
              <w:ind w:hanging="0" w:start="0" w:end="0"/>
              <w:rPr>
                <w:sz w:val="22"/>
                <w:szCs w:val="22"/>
              </w:rPr>
            </w:pPr>
            <w:r>
              <w:rPr>
                <w:sz w:val="22"/>
                <w:szCs w:val="22"/>
              </w:rPr>
              <w:t>----</w:t>
            </w:r>
          </w:p>
        </w:tc>
        <w:tc>
          <w:tcPr>
            <w:tcW w:w="4860" w:type="dxa"/>
            <w:tcBorders>
              <w:top w:val="single" w:sz="6" w:space="0" w:color="000000"/>
              <w:start w:val="single" w:sz="6" w:space="0" w:color="000000"/>
              <w:bottom w:val="dashed" w:sz="6" w:space="0" w:color="auto"/>
              <w:end w:val="dashed" w:sz="6" w:space="0" w:color="auto"/>
            </w:tcBorders>
          </w:tcPr>
          <w:p>
            <w:pPr>
              <w:pStyle w:val="Bullet1-Memo"/>
              <w:spacing w:before="40" w:after="40"/>
              <w:ind w:hanging="0" w:start="0" w:end="0"/>
              <w:rPr>
                <w:sz w:val="22"/>
                <w:szCs w:val="22"/>
              </w:rPr>
            </w:pPr>
            <w:r>
              <w:rPr>
                <w:sz w:val="22"/>
                <w:szCs w:val="22"/>
              </w:rPr>
              <w:t>Gas Accord does not limit the information which PG&amp;E can provide to the market.</w:t>
            </w:r>
          </w:p>
        </w:tc>
        <w:tc>
          <w:tcPr>
            <w:tcW w:w="4320" w:type="dxa"/>
            <w:tcBorders>
              <w:top w:val="single" w:sz="6" w:space="0" w:color="000000"/>
              <w:start w:val="double" w:sz="6" w:space="0" w:color="000000"/>
              <w:bottom w:val="dashed" w:sz="6" w:space="0" w:color="auto"/>
              <w:end w:val="single" w:sz="18" w:space="0" w:color="000000"/>
            </w:tcBorders>
          </w:tcPr>
          <w:p>
            <w:pPr>
              <w:pStyle w:val="Bullet1-Memo"/>
              <w:spacing w:before="40" w:after="40"/>
              <w:ind w:hanging="0" w:start="0" w:end="0"/>
              <w:rPr>
                <w:sz w:val="22"/>
                <w:szCs w:val="22"/>
              </w:rPr>
            </w:pPr>
            <w:r>
              <w:rPr>
                <w:sz w:val="22"/>
                <w:szCs w:val="22"/>
              </w:rPr>
              <w:t>None.  Any costs to implement will be absorbed by PG&amp;E.</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C.1.e</w:t>
            </w:r>
          </w:p>
        </w:tc>
        <w:tc>
          <w:tcPr>
            <w:tcW w:w="324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 xml:space="preserve">Maintaining records of daily injection, withdrawal and storage inventory for all storage accounts. </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w:t>
            </w:r>
          </w:p>
        </w:tc>
        <w:tc>
          <w:tcPr>
            <w:tcW w:w="486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Gas Accord does not specify what operational records PG&amp;E needs to maintain.</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None.  Any costs to implement will be absorbed by PG&amp;E.</w:t>
            </w:r>
          </w:p>
        </w:tc>
      </w:tr>
      <w:tr>
        <w:trPr/>
        <w:tc>
          <w:tcPr>
            <w:tcW w:w="1008" w:type="dxa"/>
            <w:tcBorders>
              <w:top w:val="dashed" w:sz="6" w:space="0" w:color="auto"/>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C.1.f</w:t>
            </w:r>
          </w:p>
        </w:tc>
        <w:tc>
          <w:tcPr>
            <w:tcW w:w="324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Posting a Quarterly OFO report.</w:t>
            </w:r>
          </w:p>
        </w:tc>
        <w:tc>
          <w:tcPr>
            <w:tcW w:w="1080" w:type="dxa"/>
            <w:tcBorders>
              <w:top w:val="dashed" w:sz="6" w:space="0" w:color="auto"/>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w:t>
            </w:r>
          </w:p>
        </w:tc>
        <w:tc>
          <w:tcPr>
            <w:tcW w:w="486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Gas Accord does not limit the information which PG&amp;E can provide to the market.</w:t>
            </w:r>
          </w:p>
        </w:tc>
        <w:tc>
          <w:tcPr>
            <w:tcW w:w="4320" w:type="dxa"/>
            <w:tcBorders>
              <w:top w:val="dashed" w:sz="6" w:space="0" w:color="auto"/>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None.  Any costs to implement will be absorbed by PG&amp;E.</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C.2</w:t>
            </w:r>
          </w:p>
        </w:tc>
        <w:tc>
          <w:tcPr>
            <w:tcW w:w="324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 xml:space="preserve">Using Pipeline Inventory Limits to call OFOs.  These Limits are fixed for high and low demand levels.  If pipeline inventory is forecast to exceed either the specified Lower or Upper Pipeline Inventory Limit, an OFO is called..  The Settlement sets the limits as 4.00 to 4.60 Bcf during high demand, and 3.90 to 4.50 Bcf during low demand.  </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II.E.13.</w:t>
              <w:br/>
              <w:t>e.ii</w:t>
              <w:br/>
              <w:t>p. 26</w:t>
            </w:r>
          </w:p>
        </w:tc>
        <w:tc>
          <w:tcPr>
            <w:tcW w:w="486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w:t>
            </w:r>
            <w:r>
              <w:rPr>
                <w:sz w:val="22"/>
                <w:szCs w:val="22"/>
              </w:rPr>
              <w:t>OFOs may be called if pipeline inventory exceeds or is forecast to exceed desired pipeline inventory by 200 MMcf/d, or is below or is forecast to be below desired pipeline inventory by 150 MMcf/d.  Desired pipeline inventory in the winter is typically 4.2 Bcf and in the summer is typically 4.15 Bcf.”  Therefore, the typical inventory limits (which actually vary on a daily basis) average 4.05 to 4.40 Bcf in winter, and 4.00 to 4.35 Bcf in summer.</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None, in principle.  This new method of calling OFOs is consistent with the discretion PG&amp;E could exercise under Gas Accord provisions.  The market wants improved OFO predictability and greater daily use of the full pipeline inventory within safe operating limits.  The OFO Settlement use of fixed limits with a wider band of 600 MMcf, compared to 350 MMcf (from -150 to +200), meets these two objectives.  This is expected to reduce the number of OFOs.</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C.3</w:t>
            </w:r>
          </w:p>
        </w:tc>
        <w:tc>
          <w:tcPr>
            <w:tcW w:w="324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Revising procedures for Customer-Specific OFOs.  These procedures are operating guidelines and analysis used by PG&amp;E.  They are now codified in the OFO Settlement.</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II.E.13.</w:t>
              <w:br/>
              <w:t>e.i</w:t>
              <w:br/>
              <w:t>p. 26</w:t>
            </w:r>
          </w:p>
        </w:tc>
        <w:tc>
          <w:tcPr>
            <w:tcW w:w="486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w:t>
            </w:r>
            <w:r>
              <w:rPr>
                <w:sz w:val="22"/>
                <w:szCs w:val="22"/>
              </w:rPr>
              <w:t>System-wide, local, or customer-specific OFO provisions may be called to order out-of-tolerance customers to balance supply and demand daily, when operationally necessary.”  No specific provisions are included for implementing customer-specific OFOs.</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None.  Gas Accord provides for customer specific OFOs, but does not specify how they will be implemented.  Any costs to implement will be absorbed by PG&amp;E.</w:t>
            </w:r>
          </w:p>
        </w:tc>
      </w:tr>
      <w:tr>
        <w:trPr/>
        <w:tc>
          <w:tcPr>
            <w:tcW w:w="1008" w:type="dxa"/>
            <w:tcBorders>
              <w:top w:val="single" w:sz="6" w:space="0" w:color="000000"/>
              <w:start w:val="single" w:sz="18" w:space="0" w:color="000000"/>
              <w:bottom w:val="dashed" w:sz="6" w:space="0" w:color="auto"/>
              <w:end w:val="single" w:sz="6" w:space="0" w:color="000000"/>
            </w:tcBorders>
          </w:tcPr>
          <w:p>
            <w:pPr>
              <w:pStyle w:val="Bullet1-Memo"/>
              <w:spacing w:before="40" w:after="40"/>
              <w:ind w:hanging="0" w:start="0" w:end="0"/>
              <w:rPr>
                <w:sz w:val="22"/>
                <w:szCs w:val="22"/>
              </w:rPr>
            </w:pPr>
            <w:r>
              <w:rPr>
                <w:sz w:val="22"/>
                <w:szCs w:val="22"/>
              </w:rPr>
              <w:t>C.4</w:t>
            </w:r>
          </w:p>
        </w:tc>
        <w:tc>
          <w:tcPr>
            <w:tcW w:w="3240" w:type="dxa"/>
            <w:tcBorders>
              <w:top w:val="single" w:sz="6" w:space="0" w:color="000000"/>
              <w:start w:val="single" w:sz="6" w:space="0" w:color="000000"/>
              <w:bottom w:val="dashed" w:sz="6" w:space="0" w:color="auto"/>
              <w:end w:val="dashed" w:sz="6" w:space="0" w:color="auto"/>
            </w:tcBorders>
          </w:tcPr>
          <w:p>
            <w:pPr>
              <w:pStyle w:val="Bullet1-Memo"/>
              <w:spacing w:before="40" w:after="40"/>
              <w:ind w:hanging="0" w:start="0" w:end="0"/>
              <w:rPr/>
            </w:pPr>
            <w:r>
              <w:rPr>
                <w:sz w:val="22"/>
                <w:szCs w:val="22"/>
              </w:rPr>
              <w:t xml:space="preserve">Increasing Tier I Cashout Prices by changing index multipliers to 75% and to 125%.  This is to prevent marketers from using cashouts to arbitrage market prices.  Tier II is a monthly imbalance level ranging from </w:t>
            </w:r>
            <w:r>
              <w:rPr>
                <w:rFonts w:eastAsia="Symbol" w:cs="Symbol" w:ascii="Symbol" w:hAnsi="Symbol"/>
                <w:sz w:val="22"/>
                <w:szCs w:val="22"/>
              </w:rPr>
              <w:sym w:font="Symbol" w:char="b1"/>
            </w:r>
            <w:r>
              <w:rPr>
                <w:sz w:val="22"/>
                <w:szCs w:val="22"/>
              </w:rPr>
              <w:t xml:space="preserve">5% to </w:t>
            </w:r>
            <w:r>
              <w:rPr>
                <w:rFonts w:eastAsia="Symbol" w:cs="Symbol" w:ascii="Symbol" w:hAnsi="Symbol"/>
                <w:sz w:val="22"/>
                <w:szCs w:val="22"/>
              </w:rPr>
              <w:sym w:font="Symbol" w:char="b1"/>
            </w:r>
            <w:r>
              <w:rPr>
                <w:sz w:val="22"/>
                <w:szCs w:val="22"/>
              </w:rPr>
              <w:t>10%.</w:t>
            </w:r>
          </w:p>
        </w:tc>
        <w:tc>
          <w:tcPr>
            <w:tcW w:w="1080" w:type="dxa"/>
            <w:tcBorders>
              <w:top w:val="single" w:sz="6" w:space="0" w:color="000000"/>
              <w:start w:val="double" w:sz="6" w:space="0" w:color="000000"/>
              <w:bottom w:val="dashed" w:sz="6" w:space="0" w:color="auto"/>
              <w:end w:val="single" w:sz="6" w:space="0" w:color="000000"/>
            </w:tcBorders>
          </w:tcPr>
          <w:p>
            <w:pPr>
              <w:pStyle w:val="Bullet1-Memo"/>
              <w:spacing w:before="40" w:after="40"/>
              <w:ind w:hanging="0" w:start="0" w:end="0"/>
              <w:rPr>
                <w:sz w:val="22"/>
                <w:szCs w:val="22"/>
              </w:rPr>
            </w:pPr>
            <w:r>
              <w:rPr>
                <w:sz w:val="22"/>
                <w:szCs w:val="22"/>
              </w:rPr>
              <w:t>II.E.13.</w:t>
              <w:br/>
              <w:t>d.iv</w:t>
              <w:br/>
              <w:t>p. 26</w:t>
            </w:r>
          </w:p>
        </w:tc>
        <w:tc>
          <w:tcPr>
            <w:tcW w:w="4860" w:type="dxa"/>
            <w:tcBorders>
              <w:top w:val="single" w:sz="6" w:space="0" w:color="000000"/>
              <w:start w:val="single" w:sz="6" w:space="0" w:color="000000"/>
              <w:bottom w:val="dashed" w:sz="6" w:space="0" w:color="auto"/>
              <w:end w:val="dashed" w:sz="6" w:space="0" w:color="auto"/>
            </w:tcBorders>
          </w:tcPr>
          <w:p>
            <w:pPr>
              <w:pStyle w:val="Bullet1-Memo"/>
              <w:spacing w:before="40" w:after="40"/>
              <w:ind w:hanging="0" w:start="0" w:end="0"/>
              <w:rPr/>
            </w:pPr>
            <w:r>
              <w:rPr>
                <w:sz w:val="22"/>
                <w:szCs w:val="22"/>
              </w:rPr>
              <w:t>“</w:t>
            </w:r>
            <w:r>
              <w:rPr>
                <w:sz w:val="22"/>
                <w:szCs w:val="22"/>
              </w:rPr>
              <w:t xml:space="preserve">The commodity cash-out index price will be adjusted by the following percentages, according to the level of the actual monthly imbalance.”  For the </w:t>
            </w:r>
            <w:r>
              <w:rPr>
                <w:rFonts w:eastAsia="Symbol" w:cs="Symbol" w:ascii="Symbol" w:hAnsi="Symbol"/>
                <w:sz w:val="22"/>
                <w:szCs w:val="22"/>
              </w:rPr>
              <w:sym w:font="Symbol" w:char="b1"/>
            </w:r>
            <w:r>
              <w:rPr>
                <w:sz w:val="22"/>
                <w:szCs w:val="22"/>
              </w:rPr>
              <w:t xml:space="preserve">5% to </w:t>
            </w:r>
            <w:r>
              <w:rPr>
                <w:rFonts w:eastAsia="Symbol" w:cs="Symbol" w:ascii="Symbol" w:hAnsi="Symbol"/>
                <w:sz w:val="22"/>
                <w:szCs w:val="22"/>
              </w:rPr>
              <w:sym w:font="Symbol" w:char="b1"/>
            </w:r>
            <w:r>
              <w:rPr>
                <w:sz w:val="22"/>
                <w:szCs w:val="22"/>
              </w:rPr>
              <w:t>10% range, the multipliers are 95% and 105%.  Section II.13.d.vii also states that “[t]he intent of imbalance cash-outs is to create an economic disincentive for incurring cash-out imbalances.  PG&amp;E will file to revise the imbalance charges and cash-out options if the Gas Accord provisions do not accomplish this.”</w:t>
            </w:r>
          </w:p>
        </w:tc>
        <w:tc>
          <w:tcPr>
            <w:tcW w:w="4320" w:type="dxa"/>
            <w:tcBorders>
              <w:top w:val="single" w:sz="6" w:space="0" w:color="000000"/>
              <w:start w:val="double" w:sz="6" w:space="0" w:color="000000"/>
              <w:bottom w:val="dashed" w:sz="6" w:space="0" w:color="auto"/>
              <w:end w:val="single" w:sz="18" w:space="0" w:color="000000"/>
            </w:tcBorders>
          </w:tcPr>
          <w:p>
            <w:pPr>
              <w:pStyle w:val="Bullet1-Memo"/>
              <w:spacing w:before="40" w:after="40"/>
              <w:ind w:hanging="0" w:start="0" w:end="0"/>
              <w:rPr>
                <w:sz w:val="22"/>
                <w:szCs w:val="22"/>
              </w:rPr>
            </w:pPr>
            <w:r>
              <w:rPr>
                <w:sz w:val="22"/>
                <w:szCs w:val="22"/>
              </w:rPr>
              <w:t xml:space="preserve">None.  This change is consistent with the Gas Accord provision which allows PG&amp;E to file to revise imbalance charges and cash-out options.  The current Tier I cash-out prices do not provide an economic disincentive for incurring cash-out imbalances in all months as intended in the Gas Accord.  This can serve as a factor contributing to pipeline OFOs.  The change to the Tier I cash-out prices is consistent with the intent of the Gas Accord, and the objective to reduce pipeline OFOs.  </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C.5.c</w:t>
            </w:r>
          </w:p>
        </w:tc>
        <w:tc>
          <w:tcPr>
            <w:tcW w:w="324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Allowing Core Procurement Group (CPG) trading of Operating with Cumulative Imbalances for the same month.</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w:t>
            </w:r>
          </w:p>
        </w:tc>
        <w:tc>
          <w:tcPr>
            <w:tcW w:w="486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Gas Accord does not address the trading of Operating Imbalances with Cumulative Imbalances.</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None.  Any costs to implement will be absorbed by PG&amp;E.</w:t>
            </w:r>
          </w:p>
        </w:tc>
      </w:tr>
      <w:tr>
        <w:trPr/>
        <w:tc>
          <w:tcPr>
            <w:tcW w:w="1008" w:type="dxa"/>
            <w:tcBorders>
              <w:top w:val="dashed" w:sz="6" w:space="0" w:color="auto"/>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C.5.d</w:t>
            </w:r>
          </w:p>
        </w:tc>
        <w:tc>
          <w:tcPr>
            <w:tcW w:w="324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Accounting Adjustments being included in the Operating Imbalance Carryover account.</w:t>
            </w:r>
          </w:p>
        </w:tc>
        <w:tc>
          <w:tcPr>
            <w:tcW w:w="1080" w:type="dxa"/>
            <w:tcBorders>
              <w:top w:val="dashed" w:sz="6" w:space="0" w:color="auto"/>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w:t>
            </w:r>
          </w:p>
        </w:tc>
        <w:tc>
          <w:tcPr>
            <w:tcW w:w="486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Gas Accord does not address accounting protocols.</w:t>
            </w:r>
          </w:p>
        </w:tc>
        <w:tc>
          <w:tcPr>
            <w:tcW w:w="4320" w:type="dxa"/>
            <w:tcBorders>
              <w:top w:val="dashed" w:sz="6" w:space="0" w:color="auto"/>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None.</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C.5.e</w:t>
            </w:r>
          </w:p>
        </w:tc>
        <w:tc>
          <w:tcPr>
            <w:tcW w:w="324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Clearing the Operating Imbalance Carryover can be done over an approximate twelve month period.  The Operating Imbalance Carryover is the accumulation of untraded monthly Operating Imbalances.</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IV.J.3</w:t>
              <w:br/>
              <w:t>p. 56</w:t>
            </w:r>
          </w:p>
        </w:tc>
        <w:tc>
          <w:tcPr>
            <w:tcW w:w="486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w:t>
            </w:r>
            <w:r>
              <w:rPr>
                <w:sz w:val="22"/>
                <w:szCs w:val="22"/>
              </w:rPr>
              <w:t>The difference between the monthly sum of the daily determined use figures and the prorated monthly metered use for each aggregator’s customers will be the ‘operating imbalance.’  The operating imbalance will be disposed of during the next month.  However, operating imbalances of more than 10 percent of monthly use can be disposed of over two months.”</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 xml:space="preserve">None, in principle.  Operating Imbalances can still be disposed of in the next month through trading.  For amounts that are not disposed of in this manner, the concept of an Operating Imbalance Carryover and its repayment is created to reduce the impact of such untraded amounts on pipeline inventory, which may otherwise contribute to OFOs.  </w:t>
            </w:r>
          </w:p>
        </w:tc>
      </w:tr>
      <w:tr>
        <w:trPr/>
        <w:tc>
          <w:tcPr>
            <w:tcW w:w="1008" w:type="dxa"/>
            <w:tcBorders>
              <w:top w:val="single" w:sz="6" w:space="0" w:color="000000"/>
              <w:start w:val="single" w:sz="18" w:space="0" w:color="000000"/>
              <w:bottom w:val="dashed" w:sz="6" w:space="0" w:color="auto"/>
              <w:end w:val="single" w:sz="6" w:space="0" w:color="000000"/>
            </w:tcBorders>
          </w:tcPr>
          <w:p>
            <w:pPr>
              <w:pStyle w:val="Bullet1-Memo"/>
              <w:spacing w:before="40" w:after="40"/>
              <w:ind w:hanging="0" w:start="0" w:end="0"/>
              <w:rPr>
                <w:sz w:val="22"/>
                <w:szCs w:val="22"/>
              </w:rPr>
            </w:pPr>
            <w:r>
              <w:rPr>
                <w:sz w:val="22"/>
                <w:szCs w:val="22"/>
              </w:rPr>
              <w:t>C.5.f</w:t>
            </w:r>
          </w:p>
        </w:tc>
        <w:tc>
          <w:tcPr>
            <w:tcW w:w="3240" w:type="dxa"/>
            <w:tcBorders>
              <w:top w:val="single" w:sz="6" w:space="0" w:color="000000"/>
              <w:start w:val="single" w:sz="6" w:space="0" w:color="000000"/>
              <w:bottom w:val="dashed" w:sz="6" w:space="0" w:color="auto"/>
              <w:end w:val="dashed" w:sz="6" w:space="0" w:color="auto"/>
            </w:tcBorders>
          </w:tcPr>
          <w:p>
            <w:pPr>
              <w:pStyle w:val="Bullet1-Memo"/>
              <w:spacing w:before="40" w:after="40"/>
              <w:ind w:hanging="0" w:start="0" w:end="0"/>
              <w:rPr>
                <w:sz w:val="22"/>
                <w:szCs w:val="22"/>
              </w:rPr>
            </w:pPr>
            <w:r>
              <w:rPr>
                <w:sz w:val="22"/>
                <w:szCs w:val="22"/>
              </w:rPr>
              <w:t>Demand forecasts for Core Procurement Groups (CPGs).  Providing information on assumptions and methods, and improving forecasting processes.</w:t>
            </w:r>
          </w:p>
        </w:tc>
        <w:tc>
          <w:tcPr>
            <w:tcW w:w="1080" w:type="dxa"/>
            <w:tcBorders>
              <w:top w:val="single" w:sz="6" w:space="0" w:color="000000"/>
              <w:start w:val="double" w:sz="6" w:space="0" w:color="000000"/>
              <w:bottom w:val="dashed" w:sz="6" w:space="0" w:color="auto"/>
              <w:end w:val="single" w:sz="6" w:space="0" w:color="000000"/>
            </w:tcBorders>
          </w:tcPr>
          <w:p>
            <w:pPr>
              <w:pStyle w:val="Bullet1-Memo"/>
              <w:spacing w:before="40" w:after="40"/>
              <w:ind w:hanging="0" w:start="0" w:end="0"/>
              <w:rPr>
                <w:sz w:val="22"/>
                <w:szCs w:val="22"/>
              </w:rPr>
            </w:pPr>
            <w:r>
              <w:rPr>
                <w:sz w:val="22"/>
                <w:szCs w:val="22"/>
              </w:rPr>
              <w:t>II.E.13.</w:t>
              <w:br/>
              <w:t>g.iv</w:t>
              <w:br/>
              <w:t>p. 28</w:t>
            </w:r>
          </w:p>
        </w:tc>
        <w:tc>
          <w:tcPr>
            <w:tcW w:w="4860" w:type="dxa"/>
            <w:tcBorders>
              <w:top w:val="single" w:sz="6" w:space="0" w:color="000000"/>
              <w:start w:val="single" w:sz="6" w:space="0" w:color="000000"/>
              <w:bottom w:val="dashed" w:sz="6" w:space="0" w:color="auto"/>
              <w:end w:val="dashed" w:sz="6" w:space="0" w:color="auto"/>
            </w:tcBorders>
          </w:tcPr>
          <w:p>
            <w:pPr>
              <w:pStyle w:val="Bullet1-Memo"/>
              <w:spacing w:before="40" w:after="40"/>
              <w:ind w:hanging="0" w:start="0" w:end="0"/>
              <w:rPr>
                <w:sz w:val="22"/>
                <w:szCs w:val="22"/>
              </w:rPr>
            </w:pPr>
            <w:r>
              <w:rPr>
                <w:sz w:val="22"/>
                <w:szCs w:val="22"/>
              </w:rPr>
              <w:t>“</w:t>
            </w:r>
            <w:r>
              <w:rPr>
                <w:sz w:val="22"/>
                <w:szCs w:val="22"/>
              </w:rPr>
              <w:t>A load profile modeling tool will be developed to determine daily usage for PG&amp;E’s core procurement customers and core transport customers served by core aggregators in order to remove PG&amp;E’s core portfolio from providing a system balancing function, and to be able to hold PG&amp;E’s core procurement department to the same balancing and OFO provisions to which others are held.”</w:t>
            </w:r>
          </w:p>
        </w:tc>
        <w:tc>
          <w:tcPr>
            <w:tcW w:w="4320" w:type="dxa"/>
            <w:tcBorders>
              <w:top w:val="single" w:sz="6" w:space="0" w:color="000000"/>
              <w:start w:val="double" w:sz="6" w:space="0" w:color="000000"/>
              <w:bottom w:val="dashed" w:sz="6" w:space="0" w:color="auto"/>
              <w:end w:val="single" w:sz="18" w:space="0" w:color="000000"/>
            </w:tcBorders>
          </w:tcPr>
          <w:p>
            <w:pPr>
              <w:pStyle w:val="Bullet1-Memo"/>
              <w:spacing w:before="40" w:after="40"/>
              <w:ind w:hanging="0" w:start="0" w:end="0"/>
              <w:rPr>
                <w:sz w:val="22"/>
                <w:szCs w:val="22"/>
              </w:rPr>
            </w:pPr>
            <w:r>
              <w:rPr>
                <w:sz w:val="22"/>
                <w:szCs w:val="22"/>
              </w:rPr>
              <w:t>None.  Gas Accord is not specific about the details of the forecasting model or assumptions.</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C.6.a&amp;b</w:t>
            </w:r>
          </w:p>
        </w:tc>
        <w:tc>
          <w:tcPr>
            <w:tcW w:w="324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Not adding storage assets to balancing at this time.  Providing a report describing cost of adding storage assets to balancing.</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II.E.6.b</w:t>
              <w:br/>
              <w:t>p. 19</w:t>
            </w:r>
          </w:p>
        </w:tc>
        <w:tc>
          <w:tcPr>
            <w:tcW w:w="486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w:t>
            </w:r>
            <w:r>
              <w:rPr>
                <w:sz w:val="22"/>
                <w:szCs w:val="22"/>
              </w:rPr>
              <w:t>The following quantities of firm storage capacity will be allocated to system load balancing.”  Inventory of 2.2 Bcf, injection of 50 MMcf/d and withdrawal of 70 MMcf/d.  The other storage is allocated to core service and to an unbundled noncore storage program.  There is no unallocated storage capacity under the Gas Accord.</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 xml:space="preserve">None.  The OFO settlement only requires a report to be provided and considered by the Gas OFO Forum.  Any subsequent recommendations and/or implementation procedures may need to reflect the provisions of the Gas Accord.  </w:t>
            </w:r>
          </w:p>
        </w:tc>
      </w:tr>
      <w:tr>
        <w:trPr/>
        <w:tc>
          <w:tcPr>
            <w:tcW w:w="1008" w:type="dxa"/>
            <w:tcBorders>
              <w:top w:val="dashed" w:sz="6" w:space="0" w:color="auto"/>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D.1</w:t>
            </w:r>
          </w:p>
        </w:tc>
        <w:tc>
          <w:tcPr>
            <w:tcW w:w="324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OFO notification methods and information.</w:t>
            </w:r>
          </w:p>
        </w:tc>
        <w:tc>
          <w:tcPr>
            <w:tcW w:w="1080" w:type="dxa"/>
            <w:tcBorders>
              <w:top w:val="dashed" w:sz="6" w:space="0" w:color="auto"/>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w:t>
            </w:r>
          </w:p>
        </w:tc>
        <w:tc>
          <w:tcPr>
            <w:tcW w:w="4860" w:type="dxa"/>
            <w:tcBorders>
              <w:top w:val="dashed" w:sz="6" w:space="0" w:color="auto"/>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Gas Accord does not specify how customers are notified that an OFO or EFO has been issued.</w:t>
            </w:r>
          </w:p>
        </w:tc>
        <w:tc>
          <w:tcPr>
            <w:tcW w:w="4320" w:type="dxa"/>
            <w:tcBorders>
              <w:top w:val="dashed" w:sz="6" w:space="0" w:color="auto"/>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 xml:space="preserve">None.  </w:t>
            </w:r>
          </w:p>
        </w:tc>
      </w:tr>
      <w:tr>
        <w:trPr/>
        <w:tc>
          <w:tcPr>
            <w:tcW w:w="1008" w:type="dxa"/>
            <w:tcBorders>
              <w:top w:val="single" w:sz="6" w:space="0" w:color="000000"/>
              <w:start w:val="single" w:sz="18"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D.2</w:t>
            </w:r>
          </w:p>
        </w:tc>
        <w:tc>
          <w:tcPr>
            <w:tcW w:w="324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Revising OFO Noncompliance Charges.  The Stage 1, up-to-25% tolerance, noncompliance charge is reduced from $1 per Dth to $0.25 per Dth.  A Stage is added with an up-to-20% tolerance and a $1 per Dth noncompliance charge.</w:t>
            </w:r>
          </w:p>
        </w:tc>
        <w:tc>
          <w:tcPr>
            <w:tcW w:w="1080" w:type="dxa"/>
            <w:tcBorders>
              <w:top w:val="single" w:sz="6" w:space="0" w:color="000000"/>
              <w:start w:val="double" w:sz="6" w:space="0" w:color="000000"/>
              <w:bottom w:val="single" w:sz="6" w:space="0" w:color="000000"/>
              <w:end w:val="single" w:sz="6" w:space="0" w:color="000000"/>
            </w:tcBorders>
          </w:tcPr>
          <w:p>
            <w:pPr>
              <w:pStyle w:val="Bullet1-Memo"/>
              <w:spacing w:before="40" w:after="40"/>
              <w:ind w:hanging="0" w:start="0" w:end="0"/>
              <w:rPr>
                <w:sz w:val="22"/>
                <w:szCs w:val="22"/>
              </w:rPr>
            </w:pPr>
            <w:r>
              <w:rPr>
                <w:sz w:val="22"/>
                <w:szCs w:val="22"/>
              </w:rPr>
              <w:t>II.E.13.e.iii &amp; iv</w:t>
              <w:br/>
              <w:t>p. 26</w:t>
            </w:r>
          </w:p>
        </w:tc>
        <w:tc>
          <w:tcPr>
            <w:tcW w:w="4860" w:type="dxa"/>
            <w:tcBorders>
              <w:top w:val="single" w:sz="6" w:space="0" w:color="000000"/>
              <w:start w:val="single" w:sz="6" w:space="0" w:color="000000"/>
              <w:bottom w:val="single" w:sz="6" w:space="0" w:color="000000"/>
              <w:end w:val="dashed" w:sz="6" w:space="0" w:color="auto"/>
            </w:tcBorders>
          </w:tcPr>
          <w:p>
            <w:pPr>
              <w:pStyle w:val="Bullet1-Memo"/>
              <w:spacing w:before="40" w:after="40"/>
              <w:ind w:hanging="0" w:start="0" w:end="0"/>
              <w:rPr>
                <w:sz w:val="22"/>
                <w:szCs w:val="22"/>
              </w:rPr>
            </w:pPr>
            <w:r>
              <w:rPr>
                <w:sz w:val="22"/>
                <w:szCs w:val="22"/>
              </w:rPr>
              <w:t>“</w:t>
            </w:r>
            <w:r>
              <w:rPr>
                <w:sz w:val="22"/>
                <w:szCs w:val="22"/>
              </w:rPr>
              <w:t>PG&amp;E will use multi-stage OFO provisions, which would provide a daily tolerance band ranging from plus or minus 25 percent to zero percent of actual daily usage.”</w:t>
              <w:br/>
              <w:t>“Multi-stage OFO non-compliance penalty provisions would range from $1/Dth to $25/Dth.  The amount of the penalty will be announced prior to the enactment of each stage.”</w:t>
            </w:r>
          </w:p>
        </w:tc>
        <w:tc>
          <w:tcPr>
            <w:tcW w:w="4320" w:type="dxa"/>
            <w:tcBorders>
              <w:top w:val="single" w:sz="6" w:space="0" w:color="000000"/>
              <w:start w:val="double" w:sz="6" w:space="0" w:color="000000"/>
              <w:bottom w:val="single" w:sz="6" w:space="0" w:color="000000"/>
              <w:end w:val="single" w:sz="18" w:space="0" w:color="000000"/>
            </w:tcBorders>
          </w:tcPr>
          <w:p>
            <w:pPr>
              <w:pStyle w:val="Bullet1-Memo"/>
              <w:spacing w:before="40" w:after="40"/>
              <w:ind w:hanging="0" w:start="0" w:end="0"/>
              <w:rPr>
                <w:sz w:val="22"/>
                <w:szCs w:val="22"/>
              </w:rPr>
            </w:pPr>
            <w:r>
              <w:rPr>
                <w:sz w:val="22"/>
                <w:szCs w:val="22"/>
              </w:rPr>
              <w:t>None, in principle.  The Gas Accord does not specify the stages which are to be implemented and allows PG&amp;E to select the stage which will be most effective given the operating conditions.  However, the noncompliance charge reduction of the for Stage 1 is a change to the penalty range specified in the Gas Accord.  This change remains consistent with the use of penalties to discourage noncompliance, while easing the potential penalty burden.  All noncompliance charges are returned to transportation customers through the Balancing Charge Account and the customer class charge.</w:t>
            </w:r>
          </w:p>
        </w:tc>
      </w:tr>
      <w:tr>
        <w:trPr/>
        <w:tc>
          <w:tcPr>
            <w:tcW w:w="1008" w:type="dxa"/>
            <w:tcBorders>
              <w:top w:val="single" w:sz="6" w:space="0" w:color="000000"/>
              <w:start w:val="single" w:sz="18" w:space="0" w:color="000000"/>
              <w:bottom w:val="single" w:sz="18" w:space="0" w:color="000000"/>
              <w:end w:val="single" w:sz="6" w:space="0" w:color="000000"/>
            </w:tcBorders>
          </w:tcPr>
          <w:p>
            <w:pPr>
              <w:pStyle w:val="Bullet1-Memo"/>
              <w:spacing w:before="40" w:after="40"/>
              <w:ind w:hanging="0" w:start="0" w:end="0"/>
              <w:rPr>
                <w:sz w:val="22"/>
                <w:szCs w:val="22"/>
              </w:rPr>
            </w:pPr>
            <w:r>
              <w:rPr>
                <w:sz w:val="22"/>
                <w:szCs w:val="22"/>
              </w:rPr>
              <w:t>D.3</w:t>
            </w:r>
          </w:p>
        </w:tc>
        <w:tc>
          <w:tcPr>
            <w:tcW w:w="3240" w:type="dxa"/>
            <w:tcBorders>
              <w:top w:val="single" w:sz="6" w:space="0" w:color="000000"/>
              <w:start w:val="single" w:sz="6" w:space="0" w:color="000000"/>
              <w:bottom w:val="single" w:sz="18" w:space="0" w:color="000000"/>
              <w:end w:val="dashed" w:sz="6" w:space="0" w:color="auto"/>
            </w:tcBorders>
          </w:tcPr>
          <w:p>
            <w:pPr>
              <w:pStyle w:val="Bullet1-Memo"/>
              <w:spacing w:before="40" w:after="40"/>
              <w:ind w:hanging="0" w:start="0" w:end="0"/>
              <w:rPr>
                <w:sz w:val="22"/>
                <w:szCs w:val="22"/>
              </w:rPr>
            </w:pPr>
            <w:r>
              <w:rPr>
                <w:sz w:val="22"/>
                <w:szCs w:val="22"/>
              </w:rPr>
              <w:t>Implementing monthly Noncompliance Charge Exemption if such charges are less than or equal to $1,000.</w:t>
            </w:r>
          </w:p>
        </w:tc>
        <w:tc>
          <w:tcPr>
            <w:tcW w:w="1080" w:type="dxa"/>
            <w:tcBorders>
              <w:top w:val="single" w:sz="6" w:space="0" w:color="000000"/>
              <w:start w:val="double" w:sz="6" w:space="0" w:color="000000"/>
              <w:bottom w:val="single" w:sz="18" w:space="0" w:color="000000"/>
              <w:end w:val="single" w:sz="6" w:space="0" w:color="000000"/>
            </w:tcBorders>
          </w:tcPr>
          <w:p>
            <w:pPr>
              <w:pStyle w:val="Bullet1-Memo"/>
              <w:spacing w:before="40" w:after="40"/>
              <w:ind w:hanging="0" w:start="0" w:end="0"/>
              <w:rPr>
                <w:sz w:val="22"/>
                <w:szCs w:val="22"/>
              </w:rPr>
            </w:pPr>
            <w:r>
              <w:rPr>
                <w:sz w:val="22"/>
                <w:szCs w:val="22"/>
              </w:rPr>
              <w:t>----</w:t>
            </w:r>
          </w:p>
        </w:tc>
        <w:tc>
          <w:tcPr>
            <w:tcW w:w="4860" w:type="dxa"/>
            <w:tcBorders>
              <w:top w:val="single" w:sz="6" w:space="0" w:color="000000"/>
              <w:start w:val="single" w:sz="6" w:space="0" w:color="000000"/>
              <w:bottom w:val="single" w:sz="18" w:space="0" w:color="000000"/>
              <w:end w:val="dashed" w:sz="6" w:space="0" w:color="auto"/>
            </w:tcBorders>
          </w:tcPr>
          <w:p>
            <w:pPr>
              <w:pStyle w:val="Bullet1-Memo"/>
              <w:spacing w:before="40" w:after="40"/>
              <w:ind w:hanging="0" w:start="0" w:end="0"/>
              <w:rPr>
                <w:sz w:val="22"/>
                <w:szCs w:val="22"/>
              </w:rPr>
            </w:pPr>
            <w:r>
              <w:rPr>
                <w:sz w:val="22"/>
                <w:szCs w:val="22"/>
              </w:rPr>
              <w:t xml:space="preserve">Gas Accord does not include a noncompliance charge exemption.  </w:t>
            </w:r>
          </w:p>
        </w:tc>
        <w:tc>
          <w:tcPr>
            <w:tcW w:w="4320" w:type="dxa"/>
            <w:tcBorders>
              <w:top w:val="single" w:sz="6" w:space="0" w:color="000000"/>
              <w:start w:val="double" w:sz="6" w:space="0" w:color="000000"/>
              <w:bottom w:val="single" w:sz="18" w:space="0" w:color="000000"/>
              <w:end w:val="single" w:sz="18" w:space="0" w:color="000000"/>
            </w:tcBorders>
          </w:tcPr>
          <w:p>
            <w:pPr>
              <w:pStyle w:val="Bullet1-Memo"/>
              <w:spacing w:before="40" w:after="40"/>
              <w:ind w:hanging="0" w:start="0" w:end="0"/>
              <w:rPr>
                <w:sz w:val="22"/>
                <w:szCs w:val="22"/>
              </w:rPr>
            </w:pPr>
            <w:r>
              <w:rPr>
                <w:sz w:val="22"/>
                <w:szCs w:val="22"/>
              </w:rPr>
              <w:t>None, in principle.  This exemption allows customers with small imbalances outside the tolerance level to not have to enter the market for “odd lot” deals with likely premiums and high administrative costs.  The amount of charges returned to transportation customers through the Balancing Charge Account might be reduced.</w:t>
            </w:r>
          </w:p>
        </w:tc>
      </w:tr>
    </w:tbl>
    <w:p>
      <w:pPr>
        <w:pStyle w:val="Bullet1-Memo"/>
        <w:tabs>
          <w:tab w:val="clear" w:pos="720"/>
          <w:tab w:val="left" w:pos="1350" w:leader="none"/>
          <w:tab w:val="left" w:pos="6210" w:leader="none"/>
        </w:tabs>
        <w:ind w:hanging="0" w:start="0" w:end="0"/>
        <w:rPr>
          <w:sz w:val="26"/>
          <w:szCs w:val="26"/>
        </w:rPr>
      </w:pPr>
      <w:r>
        <w:rPr>
          <w:sz w:val="26"/>
          <w:szCs w:val="26"/>
        </w:rPr>
      </w:r>
    </w:p>
    <w:p>
      <w:pPr>
        <w:pStyle w:val="Bullet1-Memo"/>
        <w:tabs>
          <w:tab w:val="clear" w:pos="720"/>
          <w:tab w:val="left" w:pos="1350" w:leader="none"/>
          <w:tab w:val="left" w:pos="6210" w:leader="none"/>
        </w:tabs>
        <w:ind w:hanging="0" w:start="0" w:end="0"/>
        <w:rPr>
          <w:sz w:val="26"/>
          <w:szCs w:val="26"/>
        </w:rPr>
      </w:pPr>
      <w:r>
        <w:rPr>
          <w:sz w:val="26"/>
          <w:szCs w:val="26"/>
        </w:rPr>
      </w:r>
    </w:p>
    <w:sectPr>
      <w:headerReference w:type="default" r:id="rId2"/>
      <w:headerReference w:type="first" r:id="rId3"/>
      <w:footerReference w:type="default" r:id="rId4"/>
      <w:footerReference w:type="first" r:id="rId5"/>
      <w:type w:val="nextPage"/>
      <w:pgSz w:orient="landscape" w:w="15840" w:h="12240"/>
      <w:pgMar w:left="720" w:right="720" w:gutter="0" w:header="720" w:top="1008" w:footer="72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Bookman Old Style">
    <w:charset w:val="01"/>
    <w:family w:val="roman"/>
    <w:pitch w:val="variable"/>
  </w:font>
  <w:font w:name="BernhardMod BT">
    <w:charset w:val="01"/>
    <w:family w:val="roman"/>
    <w:pitch w:val="variable"/>
  </w:font>
  <w:font w:name="Helvetica">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6"/>
        <w:szCs w:val="26"/>
      </w:rPr>
      <w:t xml:space="preserve">Page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4</w:t>
    </w:r>
    <w:r>
      <w:rPr>
        <w:rStyle w:val="PageNumber"/>
        <w:sz w:val="26"/>
        <w:szCs w:val="2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6"/>
        <w:szCs w:val="26"/>
      </w:rPr>
      <w:t xml:space="preserve">Page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1</w:t>
    </w:r>
    <w:r>
      <w:rPr>
        <w:rStyle w:val="PageNumber"/>
        <w:sz w:val="26"/>
        <w:szCs w:val="2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szCs w:val="20"/>
      </w:rPr>
    </w:pPr>
    <w:r>
      <w:rPr>
        <w:sz w:val="20"/>
        <w:szCs w:val="20"/>
      </w:rPr>
    </w:r>
  </w:p>
  <w:p>
    <w:pPr>
      <w:pStyle w:val="Heading3"/>
      <w:ind w:hanging="0" w:start="0"/>
      <w:rPr/>
    </w:pPr>
    <w:r>
      <w:rPr/>
      <w:t>OFO Settlement Agreement in Relation to Gas Accord Revisions</w:t>
    </w:r>
  </w:p>
  <w:p>
    <w:pPr>
      <w:pStyle w:val="Normal"/>
      <w:rPr>
        <w:sz w:val="24"/>
        <w:szCs w:val="24"/>
      </w:rPr>
    </w:pPr>
    <w:r>
      <w:rPr>
        <w:sz w:val="24"/>
        <w:szCs w:val="24"/>
      </w:rPr>
      <w:fldChar w:fldCharType="begin"/>
    </w:r>
    <w:r>
      <w:rPr>
        <w:sz w:val="24"/>
        <w:szCs w:val="24"/>
      </w:rPr>
      <w:instrText xml:space="preserve"> REF DocumentDate \h </w:instrText>
    </w:r>
    <w:r>
      <w:rPr>
        <w:sz w:val="24"/>
        <w:szCs w:val="24"/>
      </w:rPr>
      <w:fldChar w:fldCharType="separate"/>
    </w:r>
    <w:r>
      <w:rPr>
        <w:sz w:val="24"/>
        <w:szCs w:val="24"/>
      </w:rPr>
      <w:t>November 22, 1999</w:t>
    </w:r>
    <w:r>
      <w:rPr>
        <w:sz w:val="24"/>
        <w:szCs w:val="24"/>
      </w:rPr>
      <w:fldChar w:fldCharType="end"/>
    </w:r>
  </w:p>
  <w:p>
    <w:pPr>
      <w:pStyle w:val="Normal"/>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sz w:val="24"/>
      <w:szCs w:val="24"/>
    </w:rPr>
  </w:style>
  <w:style w:type="paragraph" w:styleId="Heading3">
    <w:name w:val="heading 3"/>
    <w:basedOn w:val="Normal"/>
    <w:next w:val="Normal"/>
    <w:qFormat/>
    <w:pPr>
      <w:keepNext w:val="true"/>
      <w:numPr>
        <w:ilvl w:val="2"/>
        <w:numId w:val="1"/>
      </w:numPr>
      <w:outlineLvl w:val="2"/>
    </w:pPr>
    <w:rPr>
      <w:rFonts w:ascii="Bookman Old Style" w:hAnsi="Bookman Old Style" w:eastAsia="Bookman Old Style" w:cs="Bookman Old Style"/>
      <w:b/>
      <w:bCs/>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BernhardMod BT" w:hAnsi="BernhardMod BT" w:eastAsia="BernhardMod BT" w:cs="BernhardMod BT"/>
      <w:b/>
      <w:bCs/>
      <w:i/>
      <w:iCs/>
      <w:sz w:val="26"/>
      <w:szCs w:val="2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4"/>
      <w:szCs w:val="24"/>
    </w:rPr>
  </w:style>
  <w:style w:type="paragraph" w:styleId="Bullet1-Memo">
    <w:name w:val="Bullet 1 - Memo"/>
    <w:basedOn w:val="Normal"/>
    <w:qFormat/>
    <w:pPr>
      <w:ind w:hanging="432" w:start="432" w:end="0"/>
    </w:pPr>
    <w:rPr/>
  </w:style>
  <w:style w:type="paragraph" w:styleId="Bullet2-Memo">
    <w:name w:val="Bullet 2 - Memo"/>
    <w:basedOn w:val="Normal"/>
    <w:qFormat/>
    <w:pPr>
      <w:ind w:hanging="432" w:start="864" w:end="432"/>
    </w:pPr>
    <w:rPr/>
  </w:style>
  <w:style w:type="paragraph" w:styleId="Bullet3-Memo">
    <w:name w:val="Bullet 3 - Memo"/>
    <w:basedOn w:val="Normal"/>
    <w:qFormat/>
    <w:pPr>
      <w:ind w:hanging="432" w:start="1296" w:end="432"/>
    </w:pPr>
    <w:rPr/>
  </w:style>
  <w:style w:type="paragraph" w:styleId="Indent1-Memo">
    <w:name w:val="Indent 1 - Memo"/>
    <w:basedOn w:val="Bullet1-Memo"/>
    <w:qFormat/>
    <w:pPr>
      <w:ind w:hanging="0" w:start="432" w:end="0"/>
    </w:pPr>
    <w:rPr/>
  </w:style>
  <w:style w:type="paragraph" w:styleId="Indent3-Memo">
    <w:name w:val="Indent 3 - Memo"/>
    <w:basedOn w:val="Bullet3-Memo"/>
    <w:qFormat/>
    <w:pPr/>
    <w:rPr/>
  </w:style>
  <w:style w:type="paragraph" w:styleId="Indent2-Memo">
    <w:name w:val="Indent 2 - Memo"/>
    <w:basedOn w:val="Bullet2-Memo"/>
    <w:qFormat/>
    <w:pPr>
      <w:ind w:hanging="0" w:start="864" w:end="432"/>
    </w:pPr>
    <w:rPr/>
  </w:style>
  <w:style w:type="paragraph" w:styleId="Indent0">
    <w:name w:val="Indent 0"/>
    <w:basedOn w:val="Normal"/>
    <w:qFormat/>
    <w:pPr/>
    <w:rPr>
      <w:rFonts w:ascii="Helvetica" w:hAnsi="Helvetica" w:eastAsia="Helvetica" w:cs="Helvetica"/>
    </w:rPr>
  </w:style>
  <w:style w:type="paragraph" w:styleId="EnvelopeAddress">
    <w:name w:val="envelope address"/>
    <w:basedOn w:val="Normal"/>
    <w:pPr>
      <w:ind w:hanging="0" w:start="2880" w:end="0"/>
    </w:pPr>
    <w:rPr>
      <w:rFonts w:ascii="BernhardMod BT" w:hAnsi="BernhardMod BT" w:eastAsia="BernhardMod BT" w:cs="BernhardMod BT"/>
      <w:b/>
      <w:bCs/>
      <w:sz w:val="32"/>
      <w:szCs w:val="32"/>
    </w:rPr>
  </w:style>
  <w:style w:type="paragraph" w:styleId="EnvelopeReturn">
    <w:name w:val="envelope return"/>
    <w:basedOn w:val="Normal"/>
    <w:pPr/>
    <w:rPr>
      <w:rFonts w:ascii="BernhardMod BT" w:hAnsi="BernhardMod BT" w:eastAsia="BernhardMod BT" w:cs="BernhardMod BT"/>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ullet1">
    <w:name w:val="Bullet 1"/>
    <w:basedOn w:val="Normal"/>
    <w:qFormat/>
    <w:pPr>
      <w:ind w:hanging="432" w:start="432" w:end="0"/>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1999-11-22T15:47:00Z</dcterms:created>
  <dc:creator>Randall Litteneker</dc:creator>
  <dc:description/>
  <dc:language>en-CA</dc:language>
  <cp:lastModifiedBy>Randall Litteneker</cp:lastModifiedBy>
  <cp:lastPrinted>1999-11-08T10:22:00Z</cp:lastPrinted>
  <dcterms:modified xsi:type="dcterms:W3CDTF">1999-11-22T15:52:00Z</dcterms:modified>
  <cp:revision>4</cp:revision>
  <dc:subject/>
  <dc:title> </dc:title>
</cp:coreProperties>
</file>