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>st</w:t>
      </w:r>
      <w:r>
        <w:rPr/>
        <w:t xml:space="preserve"> day of September, 2001, by and between Enron North America Corp. (“Company”) and Gas Marketing Inc.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June 1, 1999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5040" w:start="5760" w:end="0"/>
        <w:rPr/>
      </w:pPr>
      <w:r>
        <w:rPr/>
        <w:t>ENRON NORTH AMERICA CORP.</w:t>
        <w:tab/>
        <w:t xml:space="preserve">GAS MARKETING INC. </w:t>
      </w:r>
    </w:p>
    <w:p>
      <w:pPr>
        <w:pStyle w:val="Normal"/>
        <w:ind w:firstLine="720" w:start="5040" w:end="0"/>
        <w:rPr/>
      </w:pPr>
      <w:r>
        <w:rPr/>
      </w:r>
    </w:p>
    <w:p>
      <w:pPr>
        <w:pStyle w:val="Normal"/>
        <w:ind w:hanging="5040" w:start="5760" w:end="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/mnt/main-storage/datasets/enron-docs/doc/Gas_Marketing_Inc..doc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2001-09-24T15:42:00Z</dcterms:created>
  <dc:creator>protmp2</dc:creator>
  <dc:description/>
  <dc:language>en-CA</dc:language>
  <cp:lastModifiedBy>jrozycki</cp:lastModifiedBy>
  <cp:lastPrinted>2001-09-24T13:14:00Z</cp:lastPrinted>
  <dcterms:modified xsi:type="dcterms:W3CDTF">2001-09-24T15:44:00Z</dcterms:modified>
  <cp:revision>3</cp:revision>
  <dc:subject/>
  <dc:title>AGREEMENT TO BASE CONTRACT FOR SHORT-TERM SALE</dc:title>
</cp:coreProperties>
</file>