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drawing>
          <wp:anchor behindDoc="0" distT="0" distB="0" distL="114935" distR="114935" simplePos="0" locked="0" layoutInCell="1" allowOverlap="1" relativeHeight="2">
            <wp:simplePos x="0" y="0"/>
            <wp:positionH relativeFrom="column">
              <wp:posOffset>6583680</wp:posOffset>
            </wp:positionH>
            <wp:positionV relativeFrom="paragraph">
              <wp:posOffset>-548640</wp:posOffset>
            </wp:positionV>
            <wp:extent cx="1645920" cy="54864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3" t="-71" r="-23" b="-71"/>
                    <a:stretch>
                      <a:fillRect/>
                    </a:stretch>
                  </pic:blipFill>
                  <pic:spPr bwMode="auto">
                    <a:xfrm>
                      <a:off x="0" y="0"/>
                      <a:ext cx="1645920" cy="548640"/>
                    </a:xfrm>
                    <a:prstGeom prst="rect">
                      <a:avLst/>
                    </a:prstGeom>
                    <a:noFill/>
                  </pic:spPr>
                </pic:pic>
              </a:graphicData>
            </a:graphic>
          </wp:anchor>
        </w:drawing>
      </w:r>
      <w:r>
        <w:rPr/>
        <w:t>Global Strategic Sourcing (GSS) Meeting Minutes Form</w:t>
        <w:tab/>
        <w:tab/>
      </w:r>
    </w:p>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2160"/>
        <w:gridCol w:w="2610"/>
        <w:gridCol w:w="642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highlight w:val="lightGray"/>
              </w:rPr>
            </w:pPr>
            <w:r>
              <w:rPr>
                <w:b/>
              </w:rPr>
              <w:t>Meeting Date: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1/19/2001</w:t>
            </w:r>
            <w:r/>
            <w:r>
              <w:rPr>
                <w:lang w:val="en-CA" w:eastAsia="en-CA"/>
              </w:rPr>
              <w:fldChar w:fldCharType="end"/>
            </w:r>
            <w:r>
              <w:rPr>
                <w:lang w:val="en-CA" w:eastAsia="en-CA"/>
              </w:rPr>
            </w:r>
          </w:p>
        </w:tc>
        <w:tc>
          <w:tcPr>
            <w:tcW w:w="2610" w:type="dxa"/>
            <w:tcBorders>
              <w:top w:val="single" w:sz="4" w:space="0" w:color="000000"/>
              <w:start w:val="single" w:sz="4" w:space="0" w:color="000000"/>
              <w:bottom w:val="single" w:sz="4" w:space="0" w:color="000000"/>
              <w:end w:val="single" w:sz="4" w:space="0" w:color="000000"/>
            </w:tcBorders>
          </w:tcPr>
          <w:p>
            <w:pPr>
              <w:pStyle w:val="Normal"/>
              <w:rPr>
                <w:b/>
              </w:rPr>
            </w:pPr>
            <w:r>
              <w:rPr>
                <w:b/>
              </w:rPr>
              <w:t>Meeting With (Company):</w:t>
            </w:r>
          </w:p>
        </w:tc>
        <w:tc>
          <w:tcPr>
            <w:tcW w:w="6426"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2"/>
                  <w:enabled/>
                  <w:calcOnExit w:val="0"/>
                  <w:statusText w:type="text" w:val="Identify the company you are meeting with."/>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xml:space="preserve">ETS &amp; EOTT </w:t>
            </w:r>
            <w:r/>
            <w:r>
              <w:rPr>
                <w:lang w:val="en-CA" w:eastAsia="en-CA"/>
              </w:rPr>
              <w:fldChar w:fldCharType="end"/>
            </w:r>
            <w:r>
              <w:rPr>
                <w:lang w:val="en-CA" w:eastAsia="en-CA"/>
              </w:rPr>
            </w:r>
          </w:p>
        </w:tc>
      </w:tr>
    </w:tbl>
    <w:p>
      <w:pPr>
        <w:pStyle w:val="Normal"/>
        <w:rPr/>
      </w:pPr>
      <w:r>
        <w:rPr/>
      </w:r>
    </w:p>
    <w:tbl>
      <w:tblPr>
        <w:tblW w:w="13464" w:type="dxa"/>
        <w:jc w:val="start"/>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Purpose of Meeting:</w:t>
            </w:r>
          </w:p>
        </w:tc>
        <w:tc>
          <w:tcPr>
            <w:tcW w:w="11196"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14"/>
                  <w:enabled/>
                  <w:calcOnExit w:val="0"/>
                  <w:statusText w:type="text" w:val="Identify the title of the meeting.  Why was it called?"/>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To Discuss Feasability of Gas Injection to California pipeline system for the purpose of boosting the BTU levels</w:t>
            </w:r>
            <w:r/>
            <w:r>
              <w:rPr>
                <w:lang w:val="en-CA" w:eastAsia="en-CA"/>
              </w:rPr>
              <w:fldChar w:fldCharType="end"/>
            </w:r>
            <w:r>
              <w:rPr>
                <w:lang w:val="en-CA" w:eastAsia="en-CA"/>
              </w:rPr>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GSS Attendees:</w:t>
            </w:r>
          </w:p>
        </w:tc>
        <w:tc>
          <w:tcPr>
            <w:tcW w:w="11196" w:type="dxa"/>
            <w:tcBorders>
              <w:top w:val="single" w:sz="4" w:space="0" w:color="000000"/>
              <w:start w:val="single" w:sz="4" w:space="0" w:color="000000"/>
              <w:bottom w:val="single" w:sz="4" w:space="0" w:color="000000"/>
              <w:end w:val="single" w:sz="4" w:space="0" w:color="000000"/>
            </w:tcBorders>
          </w:tcPr>
          <w:p>
            <w:pPr>
              <w:pStyle w:val="Normal"/>
              <w:rPr/>
            </w:pPr>
            <w:r>
              <w:rPr/>
              <w:t>Randy Lagrimini</w:t>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Visiting Attendees:</w:t>
            </w:r>
          </w:p>
        </w:tc>
        <w:tc>
          <w:tcPr>
            <w:tcW w:w="11196" w:type="dxa"/>
            <w:tcBorders>
              <w:top w:val="single" w:sz="4" w:space="0" w:color="000000"/>
              <w:start w:val="single" w:sz="4" w:space="0" w:color="000000"/>
              <w:bottom w:val="single" w:sz="4" w:space="0" w:color="000000"/>
              <w:end w:val="single" w:sz="4" w:space="0" w:color="000000"/>
            </w:tcBorders>
          </w:tcPr>
          <w:p>
            <w:pPr>
              <w:pStyle w:val="Normal"/>
              <w:rPr/>
            </w:pPr>
            <w:r>
              <w:rPr/>
              <w:t>Rick Suderman- EOTT Energy Tupman Plant Manager, Robert Jacobs-Vice President/General Manager EOTT Energy West Coast, Larry Garrett-Manager NGL &amp; Feedstock Acquisition EOTT Energy, Diane Corbett-Director Natural Gas and NGL Marketing EOTT Energy, Susan Ralph-Treasurer EOTT Energy, Kevin Hyatt-Director Deal Origination ETS, David “Tiny” Roensch-Regional Advisor Operations ETS, Kenneth Chow-Analyst/Optimization ETS, Randy Rice –Senior Director Operations ETS</w:t>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Discussion Points:</w:t>
            </w:r>
          </w:p>
        </w:tc>
        <w:tc>
          <w:tcPr>
            <w:tcW w:w="11196" w:type="dxa"/>
            <w:tcBorders>
              <w:top w:val="single" w:sz="4" w:space="0" w:color="000000"/>
              <w:start w:val="single" w:sz="4" w:space="0" w:color="000000"/>
              <w:bottom w:val="single" w:sz="4" w:space="0" w:color="000000"/>
              <w:end w:val="single" w:sz="4" w:space="0" w:color="000000"/>
            </w:tcBorders>
          </w:tcPr>
          <w:p>
            <w:pPr>
              <w:pStyle w:val="Normal"/>
              <w:rPr/>
            </w:pPr>
            <w:r>
              <w:rPr/>
              <w:t xml:space="preserve">1) Possibility of injecting various NGLs into Pipeline to boost BTU level to derive additional revenue within the guidelines of our contracts and tariffs.  2) Technical Requirements Modeling-How much of what (propane, butane, ethane) to boost levels.  3) Future Nat. Gas and NGL price projections (as much as possible) to help in the financial modeling.  4) Availability of propane, butane, ethane for injection (seasonality, pricing).  5) Dropout of liquids after injection (how much, how would it effect our customers).  6) Management of the process (switching between injection liquids and managing that for our customer to minimize impact on their equipment).  7) Rail Availability (how many carriers? Who are they?  How far is the railroad from the injection point? Rail Rack Purchase?  Piping from rack to injection point?  Costs involved?  8) Storage Capability (Rolling storage vs. fixed tankage).  9) Possibility of selling as peaking service to boost BTUs – long term deals to help cover capital costs. </w:t>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Objectives Identified:</w:t>
            </w:r>
          </w:p>
        </w:tc>
        <w:tc>
          <w:tcPr>
            <w:tcW w:w="11196" w:type="dxa"/>
            <w:tcBorders>
              <w:top w:val="single" w:sz="4" w:space="0" w:color="000000"/>
              <w:start w:val="single" w:sz="4" w:space="0" w:color="000000"/>
              <w:bottom w:val="single" w:sz="4" w:space="0" w:color="000000"/>
              <w:end w:val="single" w:sz="4" w:space="0" w:color="000000"/>
            </w:tcBorders>
          </w:tcPr>
          <w:p>
            <w:pPr>
              <w:pStyle w:val="Normal"/>
              <w:rPr/>
            </w:pPr>
            <w:r>
              <w:rPr/>
              <w:t xml:space="preserve">To attempt to develop a process where purchased NGLs are injected into Nat. Gas pipeline to boost BTU levels to our customers without adverse affect while generating additional revenues under existing contract and tariff structure. </w:t>
            </w:r>
          </w:p>
        </w:tc>
      </w:tr>
    </w:tbl>
    <w:p>
      <w:pPr>
        <w:pStyle w:val="Normal"/>
        <w:rPr/>
      </w:pPr>
      <w:r>
        <w:rPr/>
      </w:r>
    </w:p>
    <w:p>
      <w:pPr>
        <w:pStyle w:val="Normal"/>
        <w:rPr/>
      </w:pPr>
      <w:r>
        <w:rPr/>
      </w:r>
    </w:p>
    <w:tbl>
      <w:tblPr>
        <w:tblW w:w="13464" w:type="dxa"/>
        <w:jc w:val="start"/>
        <w:tblInd w:w="0" w:type="dxa"/>
        <w:tblLayout w:type="fixed"/>
        <w:tblCellMar>
          <w:top w:w="0" w:type="dxa"/>
          <w:start w:w="108" w:type="dxa"/>
          <w:bottom w:w="0" w:type="dxa"/>
          <w:end w:w="108" w:type="dxa"/>
        </w:tblCellMar>
      </w:tblPr>
      <w:tblGrid>
        <w:gridCol w:w="11718"/>
        <w:gridCol w:w="1746"/>
      </w:tblGrid>
      <w:tr>
        <w:trPr/>
        <w:tc>
          <w:tcPr>
            <w:tcW w:w="11718" w:type="dxa"/>
            <w:tcBorders/>
          </w:tcPr>
          <w:p>
            <w:pPr>
              <w:pStyle w:val="Normal"/>
              <w:jc w:val="center"/>
              <w:rPr>
                <w:b/>
              </w:rPr>
            </w:pPr>
            <w:r>
              <w:rPr>
                <w:b/>
              </w:rPr>
              <w:t>Action Items Assigned</w:t>
            </w:r>
          </w:p>
        </w:tc>
        <w:tc>
          <w:tcPr>
            <w:tcW w:w="1746" w:type="dxa"/>
            <w:tcBorders/>
          </w:tcPr>
          <w:p>
            <w:pPr>
              <w:pStyle w:val="Normal"/>
              <w:jc w:val="center"/>
              <w:rPr>
                <w:b/>
              </w:rPr>
            </w:pPr>
            <w:r>
              <w:rPr>
                <w:b/>
              </w:rPr>
              <w:t>Complete By</w:t>
            </w:r>
          </w:p>
        </w:tc>
      </w:tr>
    </w:tbl>
    <w:p>
      <w:pPr>
        <w:pStyle w:val="Normal"/>
        <w:jc w:val="center"/>
        <w:rPr>
          <w:b/>
        </w:rPr>
      </w:pPr>
      <w:r>
        <w:rPr>
          <w:b/>
        </w:rPr>
      </w:r>
    </w:p>
    <w:tbl>
      <w:tblPr>
        <w:tblW w:w="13464" w:type="dxa"/>
        <w:jc w:val="start"/>
        <w:tblInd w:w="0" w:type="dxa"/>
        <w:tblLayout w:type="fixed"/>
        <w:tblCellMar>
          <w:top w:w="0" w:type="dxa"/>
          <w:start w:w="108" w:type="dxa"/>
          <w:bottom w:w="0" w:type="dxa"/>
          <w:end w:w="108" w:type="dxa"/>
        </w:tblCellMar>
      </w:tblPr>
      <w:tblGrid>
        <w:gridCol w:w="378"/>
        <w:gridCol w:w="11340"/>
        <w:gridCol w:w="1746"/>
      </w:tblGrid>
      <w:tr>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1.</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Kevin Hyatt - Natural Gas &amp; NGL price projections through 2002 (From ENA or possibly outside sources)</w:t>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r>
        <w:trPr>
          <w:trHeight w:val="269" w:hRule="atLeast"/>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2.</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Ken Chow – Run modeling on process (amount of NGLs required to boost BTU levels; drop out of liquids; pressure and temp levels, etc.)</w:t>
            </w:r>
            <w:r>
              <w:fldChar w:fldCharType="begin">
                <w:ffData>
                  <w:name w:val="Text6"/>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r>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3.</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 xml:space="preserve">Randy Lagrimini &amp; Larry Garrett – Rail issues (Car leasing availability and rates; Rail Carriers-who and how much; Rail rack construction costs; </w:t>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r>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4.</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Rick Suderman – Fixed Storage Costs</w:t>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r>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5.</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David Roensch &amp; Rich Jolly – Environmental Issues</w:t>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r>
        <w:trPr/>
        <w:tc>
          <w:tcPr>
            <w:tcW w:w="378" w:type="dxa"/>
            <w:tcBorders>
              <w:top w:val="single" w:sz="4" w:space="0" w:color="000000"/>
              <w:start w:val="single" w:sz="4" w:space="0" w:color="000000"/>
              <w:bottom w:val="single" w:sz="4" w:space="0" w:color="000000"/>
              <w:end w:val="single" w:sz="4" w:space="0" w:color="000000"/>
            </w:tcBorders>
          </w:tcPr>
          <w:p>
            <w:pPr>
              <w:pStyle w:val="Normal"/>
              <w:rPr>
                <w:b/>
              </w:rPr>
            </w:pPr>
            <w:r>
              <w:rPr>
                <w:b/>
              </w:rPr>
              <w:t>6.</w:t>
            </w:r>
          </w:p>
        </w:tc>
        <w:tc>
          <w:tcPr>
            <w:tcW w:w="11340" w:type="dxa"/>
            <w:tcBorders>
              <w:top w:val="single" w:sz="4" w:space="0" w:color="000000"/>
              <w:start w:val="single" w:sz="4" w:space="0" w:color="000000"/>
              <w:bottom w:val="single" w:sz="4" w:space="0" w:color="000000"/>
              <w:end w:val="single" w:sz="4" w:space="0" w:color="000000"/>
            </w:tcBorders>
          </w:tcPr>
          <w:p>
            <w:pPr>
              <w:pStyle w:val="Normal"/>
              <w:rPr/>
            </w:pPr>
            <w:r>
              <w:rPr/>
              <w:t xml:space="preserve">Rick Suderman - Cost of Pipe from rail rack to injection point </w:t>
            </w:r>
          </w:p>
        </w:tc>
        <w:tc>
          <w:tcPr>
            <w:tcW w:w="1746" w:type="dxa"/>
            <w:tcBorders>
              <w:top w:val="single" w:sz="4" w:space="0" w:color="000000"/>
              <w:start w:val="single" w:sz="4" w:space="0" w:color="000000"/>
              <w:bottom w:val="single" w:sz="4" w:space="0" w:color="000000"/>
              <w:end w:val="single" w:sz="4" w:space="0" w:color="000000"/>
            </w:tcBorders>
          </w:tcPr>
          <w:p>
            <w:pPr>
              <w:pStyle w:val="Normal"/>
              <w:rPr/>
            </w:pPr>
            <w:r>
              <w:rPr/>
              <w:t>2/09/01</w:t>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68"/>
        <w:gridCol w:w="1119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rPr>
                <w:b/>
              </w:rPr>
            </w:pPr>
            <w:r>
              <w:rPr>
                <w:b/>
              </w:rPr>
              <w:t>Summary Note:</w:t>
            </w:r>
          </w:p>
        </w:tc>
        <w:tc>
          <w:tcPr>
            <w:tcW w:w="11196" w:type="dxa"/>
            <w:tcBorders>
              <w:top w:val="single" w:sz="4" w:space="0" w:color="000000"/>
              <w:start w:val="single" w:sz="4" w:space="0" w:color="000000"/>
              <w:bottom w:val="single" w:sz="4" w:space="0" w:color="000000"/>
              <w:end w:val="single" w:sz="4" w:space="0" w:color="000000"/>
            </w:tcBorders>
          </w:tcPr>
          <w:p>
            <w:pPr>
              <w:pStyle w:val="Normal"/>
              <w:rPr>
                <w:lang w:val="en-CA" w:eastAsia="en-CA"/>
              </w:rPr>
            </w:pPr>
            <w:r>
              <w:fldChar w:fldCharType="begin">
                <w:ffData>
                  <w:name w:val="Text9"/>
                  <w:enabled/>
                  <w:calcOnExit w:val="0"/>
                  <w:statusText w:type="text" w:val="Recap the meeting in a brief summary."/>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
              <w:rPr>
                <w:lang w:val="en-CA" w:eastAsia="en-CA"/>
              </w:rPr>
              <w:fldChar w:fldCharType="end"/>
            </w:r>
            <w:r>
              <w:rPr>
                <w:lang w:val="en-CA" w:eastAsia="en-CA"/>
              </w:rPr>
            </w:r>
          </w:p>
        </w:tc>
      </w:tr>
    </w:tbl>
    <w:p>
      <w:pPr>
        <w:pStyle w:val="Normal"/>
        <w:rPr/>
      </w:pPr>
      <w:r>
        <w:rPr/>
      </w:r>
    </w:p>
    <w:tbl>
      <w:tblPr>
        <w:tblW w:w="13464" w:type="dxa"/>
        <w:jc w:val="center"/>
        <w:tblInd w:w="0" w:type="dxa"/>
        <w:tblLayout w:type="fixed"/>
        <w:tblCellMar>
          <w:top w:w="0" w:type="dxa"/>
          <w:start w:w="108" w:type="dxa"/>
          <w:bottom w:w="0" w:type="dxa"/>
          <w:end w:w="108" w:type="dxa"/>
        </w:tblCellMar>
      </w:tblPr>
      <w:tblGrid>
        <w:gridCol w:w="2244"/>
        <w:gridCol w:w="2184"/>
        <w:gridCol w:w="900"/>
        <w:gridCol w:w="1620"/>
        <w:gridCol w:w="1260"/>
        <w:gridCol w:w="5256"/>
      </w:tblGrid>
      <w:tr>
        <w:trPr/>
        <w:tc>
          <w:tcPr>
            <w:tcW w:w="2244" w:type="dxa"/>
            <w:tcBorders>
              <w:top w:val="single" w:sz="4" w:space="0" w:color="000000"/>
              <w:start w:val="single" w:sz="4" w:space="0" w:color="000000"/>
              <w:bottom w:val="single" w:sz="4" w:space="0" w:color="000000"/>
              <w:end w:val="single" w:sz="4" w:space="0" w:color="000000"/>
            </w:tcBorders>
          </w:tcPr>
          <w:p>
            <w:pPr>
              <w:pStyle w:val="Normal"/>
              <w:rPr>
                <w:b/>
              </w:rPr>
            </w:pPr>
            <w:r>
              <w:rPr>
                <w:b/>
              </w:rPr>
              <w:t>Next Meeting Date:</w:t>
            </w:r>
          </w:p>
        </w:tc>
        <w:tc>
          <w:tcPr>
            <w:tcW w:w="2184"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0"/>
                  <w:enabled/>
                  <w:calcOnExit w:val="0"/>
                  <w:statusText w:type="text" w:val="Enter date as M/d/yyyy."/>
                  <w:textInput>
                    <w:type w:val="date"/>
                    <w:maxLength w:val="1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1/30/01</w:t>
            </w:r>
          </w:p>
        </w:tc>
        <w:tc>
          <w:tcPr>
            <w:tcW w:w="900" w:type="dxa"/>
            <w:tcBorders>
              <w:top w:val="single" w:sz="4" w:space="0" w:color="000000"/>
              <w:start w:val="single" w:sz="4" w:space="0" w:color="000000"/>
              <w:bottom w:val="single" w:sz="4" w:space="0" w:color="000000"/>
              <w:end w:val="single" w:sz="4" w:space="0" w:color="000000"/>
            </w:tcBorders>
          </w:tcPr>
          <w:p>
            <w:pPr>
              <w:pStyle w:val="Normal"/>
              <w:rPr>
                <w:b/>
              </w:rPr>
            </w:pPr>
            <w:r>
              <w:rPr>
                <w:b/>
              </w:rPr>
              <w:t>Time:</w:t>
            </w:r>
          </w:p>
        </w:tc>
        <w:tc>
          <w:tcPr>
            <w:tcW w:w="1620" w:type="dxa"/>
            <w:tcBorders>
              <w:top w:val="single" w:sz="4" w:space="0" w:color="000000"/>
              <w:start w:val="single" w:sz="4" w:space="0" w:color="000000"/>
              <w:bottom w:val="single" w:sz="4" w:space="0" w:color="000000"/>
              <w:end w:val="single" w:sz="4" w:space="0" w:color="000000"/>
            </w:tcBorders>
          </w:tcPr>
          <w:p>
            <w:pPr>
              <w:pStyle w:val="Normal"/>
              <w:rPr/>
            </w:pPr>
            <w:r>
              <w:fldChar w:fldCharType="begin">
                <w:ffData>
                  <w:name w:val="Text11"/>
                  <w:enabled/>
                  <w:calcOnExit w:val="0"/>
                  <w:statusText w:type="text" w:val="Enter time as 11:00 AM or PM"/>
                  <w:textInput>
                    <w:maxLength w:val="8"/>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w:t>
            </w:r>
            <w:r>
              <w:rPr>
                <w:lang w:val="en-CA" w:eastAsia="en-CA"/>
              </w:rPr>
            </w:r>
            <w:r>
              <w:rPr>
                <w:lang w:val="en-CA" w:eastAsia="en-CA"/>
              </w:rPr>
              <w:fldChar w:fldCharType="end"/>
            </w:r>
            <w:r>
              <w:rPr/>
              <w:t>10:00</w:t>
            </w:r>
          </w:p>
        </w:tc>
        <w:tc>
          <w:tcPr>
            <w:tcW w:w="1260" w:type="dxa"/>
            <w:tcBorders>
              <w:top w:val="single" w:sz="4" w:space="0" w:color="000000"/>
              <w:start w:val="single" w:sz="4" w:space="0" w:color="000000"/>
              <w:bottom w:val="single" w:sz="4" w:space="0" w:color="000000"/>
              <w:end w:val="single" w:sz="4" w:space="0" w:color="000000"/>
            </w:tcBorders>
          </w:tcPr>
          <w:p>
            <w:pPr>
              <w:pStyle w:val="Normal"/>
              <w:rPr>
                <w:b/>
              </w:rPr>
            </w:pPr>
            <w:r>
              <w:rPr>
                <w:b/>
              </w:rPr>
              <w:t>Location:</w:t>
            </w:r>
          </w:p>
        </w:tc>
        <w:tc>
          <w:tcPr>
            <w:tcW w:w="5256" w:type="dxa"/>
            <w:tcBorders>
              <w:top w:val="single" w:sz="4" w:space="0" w:color="000000"/>
              <w:start w:val="single" w:sz="4" w:space="0" w:color="000000"/>
              <w:bottom w:val="single" w:sz="4" w:space="0" w:color="000000"/>
              <w:end w:val="single" w:sz="4" w:space="0" w:color="000000"/>
            </w:tcBorders>
          </w:tcPr>
          <w:p>
            <w:pPr>
              <w:pStyle w:val="Normal"/>
              <w:rPr/>
            </w:pPr>
            <w:r>
              <w:rPr/>
              <w:t>Conference Call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sectPr>
      <w:footerReference w:type="default" r:id="rId3"/>
      <w:type w:val="nextPage"/>
      <w:pgSz w:orient="landscape" w:w="15840" w:h="12240"/>
      <w:pgMar w:left="1296" w:right="1296"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z w:val="16"/>
      </w:rPr>
      <w:fldChar w:fldCharType="begin"/>
    </w:r>
    <w:r>
      <w:rPr>
        <w:sz w:val="16"/>
      </w:rPr>
      <w:instrText xml:space="preserve"> FILENAME \p </w:instrText>
    </w:r>
    <w:r>
      <w:rPr>
        <w:sz w:val="16"/>
      </w:rPr>
      <w:fldChar w:fldCharType="separate"/>
    </w:r>
    <w:r>
      <w:rPr>
        <w:sz w:val="16"/>
      </w:rPr>
      <w:t>/mnt/main-storage/datasets/enron-docs/doc/Gas_Injection_Meeting_Minutes_Form.doc</w:t>
    </w:r>
    <w:r>
      <w:rPr>
        <w:sz w:val="16"/>
      </w:rPr>
      <w:fldChar w:fldCharType="end"/>
    </w:r>
    <w:r>
      <w:rPr>
        <w:sz w:val="16"/>
      </w:rPr>
      <w:t xml:space="preserve">, Page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r>
      <w:rPr>
        <w:rStyle w:val="PageNumber"/>
      </w:rPr>
      <w:t>, Updated 2/2/00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GSS Meeting Minutes Form.dot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2001-01-19T15:26:00Z</dcterms:created>
  <dc:creator>Kayla Heitmeyer</dc:creator>
  <dc:description/>
  <dc:language>en-CA</dc:language>
  <cp:lastModifiedBy>rlagrimi</cp:lastModifiedBy>
  <cp:lastPrinted>2000-02-03T14:57:00Z</cp:lastPrinted>
  <dcterms:modified xsi:type="dcterms:W3CDTF">2001-01-19T15:26:00Z</dcterms:modified>
  <cp:revision>2</cp:revision>
  <dc:subject/>
  <dc:title>Global Strategic Sourcing (GSS) Meeting Minutes Form</dc:title>
</cp:coreProperties>
</file>