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480" w:after="0"/>
        <w:jc w:val="center"/>
        <w:rPr>
          <w:b/>
          <w:bCs/>
        </w:rPr>
      </w:pPr>
      <w:bookmarkStart w:id="0" w:name="PleadingCPUCModel"/>
      <w:bookmarkEnd w:id="0"/>
      <w:r>
        <w:rPr>
          <w:b/>
          <w:bCs/>
        </w:rPr>
        <w:t>BEFORE THE PUBLIC UTILITIES COMMISSION</w:t>
        <w:br/>
        <w:t>OF THE STATE OF CALIFORNIA</w:t>
      </w:r>
    </w:p>
    <w:p>
      <w:pPr>
        <w:pStyle w:val="Normal"/>
        <w:widowControl/>
        <w:rPr>
          <w:b/>
          <w:bCs/>
        </w:rPr>
      </w:pPr>
      <w:r>
        <w:rPr>
          <w:b/>
          <w:bCs/>
        </w:rPr>
      </w:r>
    </w:p>
    <w:p>
      <w:pPr>
        <w:pStyle w:val="Normal"/>
        <w:widowControl/>
        <w:rPr/>
      </w:pPr>
      <w:r>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bottom w:val="single" w:sz="6" w:space="0" w:color="000000"/>
              <w:end w:val="single" w:sz="6" w:space="0" w:color="000000"/>
            </w:tcBorders>
          </w:tcPr>
          <w:p>
            <w:pPr>
              <w:pStyle w:val="Normal"/>
              <w:widowControl/>
              <w:tabs>
                <w:tab w:val="clear" w:pos="720"/>
                <w:tab w:val="left" w:pos="1440" w:leader="none"/>
              </w:tabs>
              <w:rPr/>
            </w:pPr>
            <w:r>
              <w:rPr/>
              <w:t xml:space="preserve">Emergency Application Of PACIFIC GAS AND ELECTRIC COMPANY For An Immediate Finding Of A Gas Supply Emergency and an Order Directing Southern California Gas Company To Provide Mutual Assistance </w:t>
            </w:r>
          </w:p>
          <w:p>
            <w:pPr>
              <w:pStyle w:val="Normal"/>
              <w:widowControl/>
              <w:tabs>
                <w:tab w:val="clear" w:pos="720"/>
                <w:tab w:val="left" w:pos="1440" w:leader="none"/>
              </w:tabs>
              <w:rPr/>
            </w:pPr>
            <w:r>
              <w:rPr/>
            </w:r>
          </w:p>
          <w:p>
            <w:pPr>
              <w:pStyle w:val="Normal"/>
              <w:widowControl/>
              <w:tabs>
                <w:tab w:val="clear" w:pos="720"/>
                <w:tab w:val="left" w:pos="1440" w:leader="none"/>
              </w:tabs>
              <w:jc w:val="end"/>
              <w:rPr/>
            </w:pPr>
            <w:r>
              <w:rPr/>
              <w:t>(U 39 G)</w:t>
            </w:r>
          </w:p>
        </w:tc>
        <w:tc>
          <w:tcPr>
            <w:tcW w:w="4968" w:type="dxa"/>
            <w:tcBorders/>
          </w:tcPr>
          <w:p>
            <w:pPr>
              <w:pStyle w:val="Normal"/>
              <w:widowControl/>
              <w:snapToGrid w:val="false"/>
              <w:ind w:start="252" w:end="0"/>
              <w:rPr/>
            </w:pPr>
            <w:r>
              <w:rPr/>
            </w:r>
          </w:p>
          <w:p>
            <w:pPr>
              <w:pStyle w:val="Normal"/>
              <w:widowControl/>
              <w:ind w:start="252" w:end="0"/>
              <w:rPr/>
            </w:pPr>
            <w:r>
              <w:rPr/>
            </w:r>
          </w:p>
          <w:p>
            <w:pPr>
              <w:pStyle w:val="Normal"/>
              <w:widowControl/>
              <w:ind w:start="252" w:end="0"/>
              <w:rPr/>
            </w:pPr>
            <w:r>
              <w:rPr/>
              <w:t xml:space="preserve">Application No. </w:t>
            </w:r>
          </w:p>
          <w:p>
            <w:pPr>
              <w:pStyle w:val="Normal"/>
              <w:widowControl/>
              <w:ind w:start="252" w:end="0"/>
              <w:jc w:val="center"/>
              <w:rPr/>
            </w:pPr>
            <w:r>
              <w:rPr/>
            </w:r>
          </w:p>
          <w:p>
            <w:pPr>
              <w:pStyle w:val="Normal"/>
              <w:widowControl/>
              <w:ind w:start="252" w:end="0"/>
              <w:rPr/>
            </w:pPr>
            <w:r>
              <w:rPr/>
            </w:r>
          </w:p>
        </w:tc>
      </w:tr>
    </w:tbl>
    <w:p>
      <w:pPr>
        <w:pStyle w:val="Normal"/>
        <w:widowControl/>
        <w:rPr/>
      </w:pPr>
      <w:r>
        <w:rPr/>
      </w:r>
    </w:p>
    <w:p>
      <w:pPr>
        <w:pStyle w:val="Normal"/>
        <w:widowControl/>
        <w:rPr/>
      </w:pPr>
      <w:r>
        <w:rPr/>
      </w:r>
    </w:p>
    <w:p>
      <w:pPr>
        <w:pStyle w:val="Normal"/>
        <w:widowControl/>
        <w:jc w:val="center"/>
        <w:rPr>
          <w:b/>
          <w:bCs/>
        </w:rPr>
      </w:pPr>
      <w:r>
        <w:rPr>
          <w:b/>
          <w:bCs/>
        </w:rPr>
      </w:r>
    </w:p>
    <w:p>
      <w:pPr>
        <w:pStyle w:val="Normal"/>
        <w:widowControl/>
        <w:jc w:val="center"/>
        <w:rPr>
          <w:b/>
          <w:bCs/>
        </w:rPr>
      </w:pPr>
      <w:r>
        <w:rPr>
          <w:b/>
          <w:bCs/>
        </w:rPr>
      </w:r>
    </w:p>
    <w:p>
      <w:pPr>
        <w:pStyle w:val="Heading"/>
        <w:rPr/>
      </w:pPr>
      <w:r>
        <w:rPr/>
        <w:t>DECLARATION OF KENT HARVEY IN SUPPORT OF EMERGENCY APPLICATION OF PACIFIC GAS AND ELECTRIC COMPANY FOR AN IMMEDIATE FINDING OF A GAS SUPPLY EMERGENCY AND AN ORDER DIRECTING SOUTHERN CALIFORNIA GAS COMPANY TO PROVIDE MUTUAL ASSISTANCE</w:t>
      </w:r>
    </w:p>
    <w:p>
      <w:pPr>
        <w:pStyle w:val="Normal"/>
        <w:widowControl/>
        <w:rPr/>
      </w:pPr>
      <w:r>
        <w:rPr/>
      </w:r>
    </w:p>
    <w:p>
      <w:pPr>
        <w:pStyle w:val="Normal"/>
        <w:widowControl/>
        <w:rPr/>
      </w:pPr>
      <w:r>
        <w:rPr/>
      </w:r>
    </w:p>
    <w:p>
      <w:pPr>
        <w:pStyle w:val="Normal"/>
        <w:widowControl/>
        <w:rPr/>
      </w:pPr>
      <w:r>
        <w:rPr/>
      </w:r>
    </w:p>
    <w:p>
      <w:pPr>
        <w:pStyle w:val="Normal"/>
        <w:widowControl/>
        <w:ind w:start="3600" w:end="0"/>
        <w:rPr/>
      </w:pPr>
      <w:r>
        <w:rPr/>
        <w:t>LINDA L. AGERTER</w:t>
        <w:br/>
        <w:t>MICHELLE L. WILSON</w:t>
      </w:r>
    </w:p>
    <w:p>
      <w:pPr>
        <w:pStyle w:val="Normal"/>
        <w:widowControl/>
        <w:ind w:start="3600" w:end="0"/>
        <w:rPr/>
      </w:pPr>
      <w:r>
        <w:rPr/>
        <w:t>RANDALL J. LITTENEKER</w:t>
      </w:r>
    </w:p>
    <w:p>
      <w:pPr>
        <w:pStyle w:val="Normal"/>
        <w:widowControl/>
        <w:ind w:start="3600" w:end="0"/>
        <w:rPr/>
      </w:pPr>
      <w:r>
        <w:rPr/>
        <w:t>SHIRLEY A. WOO</w:t>
      </w:r>
    </w:p>
    <w:p>
      <w:pPr>
        <w:pStyle w:val="Normal"/>
        <w:widowControl/>
        <w:ind w:start="3600" w:end="0"/>
        <w:rPr/>
      </w:pPr>
      <w:r>
        <w:rPr/>
      </w:r>
    </w:p>
    <w:p>
      <w:pPr>
        <w:pStyle w:val="Normal"/>
        <w:widowControl/>
        <w:ind w:start="3600" w:end="0"/>
        <w:rPr/>
      </w:pPr>
      <w:r>
        <w:rPr/>
        <w:t>Law Department</w:t>
      </w:r>
    </w:p>
    <w:p>
      <w:pPr>
        <w:pStyle w:val="Normal"/>
        <w:widowControl/>
        <w:ind w:start="3600" w:end="0"/>
        <w:rPr/>
      </w:pPr>
      <w:r>
        <w:rPr/>
        <w:t>Pacific Gas and Electric Company</w:t>
      </w:r>
    </w:p>
    <w:p>
      <w:pPr>
        <w:pStyle w:val="Normal"/>
        <w:widowControl/>
        <w:ind w:start="3600" w:end="0"/>
        <w:rPr/>
      </w:pPr>
      <w:r>
        <w:rPr/>
        <w:t>Post Office Box 7442</w:t>
      </w:r>
    </w:p>
    <w:p>
      <w:pPr>
        <w:pStyle w:val="Normal"/>
        <w:widowControl/>
        <w:ind w:start="3600" w:end="0"/>
        <w:rPr/>
      </w:pPr>
      <w:r>
        <w:rPr/>
        <w:t>77 Beale Street</w:t>
      </w:r>
    </w:p>
    <w:p>
      <w:pPr>
        <w:pStyle w:val="Normal"/>
        <w:widowControl/>
        <w:ind w:start="3600" w:end="0"/>
        <w:rPr/>
      </w:pPr>
      <w:r>
        <w:rPr/>
        <w:t>San Francisco, CA  94120</w:t>
      </w:r>
    </w:p>
    <w:p>
      <w:pPr>
        <w:pStyle w:val="Normal"/>
        <w:widowControl/>
        <w:ind w:start="3600" w:end="0"/>
        <w:rPr/>
      </w:pPr>
      <w:r>
        <w:rPr/>
        <w:t>Telephone: (415) 973-2248</w:t>
      </w:r>
    </w:p>
    <w:p>
      <w:pPr>
        <w:pStyle w:val="Normal"/>
        <w:widowControl/>
        <w:ind w:start="3600" w:end="0"/>
        <w:rPr/>
      </w:pPr>
      <w:r>
        <w:rPr/>
        <w:t>Facsimile:  (415) 973-0516</w:t>
      </w:r>
    </w:p>
    <w:p>
      <w:pPr>
        <w:pStyle w:val="Normal"/>
        <w:widowControl/>
        <w:ind w:start="3600" w:end="0"/>
        <w:rPr/>
      </w:pPr>
      <w:r>
        <w:rPr/>
        <w:t>Internet:  saw0@pge.com</w:t>
      </w:r>
    </w:p>
    <w:p>
      <w:pPr>
        <w:pStyle w:val="Normal"/>
        <w:widowControl/>
        <w:ind w:start="3600" w:end="0"/>
        <w:rPr/>
      </w:pPr>
      <w:r>
        <w:rPr/>
      </w:r>
    </w:p>
    <w:p>
      <w:pPr>
        <w:pStyle w:val="Normal"/>
        <w:widowControl/>
        <w:ind w:start="3600" w:end="0"/>
        <w:rPr/>
      </w:pPr>
      <w:r>
        <w:rPr/>
        <w:t>Attorneys for</w:t>
      </w:r>
    </w:p>
    <w:p>
      <w:pPr>
        <w:pStyle w:val="Normal"/>
        <w:widowControl/>
        <w:ind w:start="3600" w:end="0"/>
        <w:rPr/>
      </w:pPr>
      <w:r>
        <w:rPr/>
        <w:t>PACIFIC GAS AND ELECTRIC COMPANY</w:t>
      </w:r>
    </w:p>
    <w:p>
      <w:pPr>
        <w:pStyle w:val="Normal"/>
        <w:widowControl/>
        <w:ind w:start="3240" w:end="0"/>
        <w:rPr/>
      </w:pPr>
      <w:r>
        <w:rPr/>
      </w:r>
    </w:p>
    <w:p>
      <w:pPr>
        <w:sectPr>
          <w:headerReference w:type="default" r:id="rId2"/>
          <w:headerReference w:type="first" r:id="rId3"/>
          <w:footerReference w:type="default" r:id="rId4"/>
          <w:footerReference w:type="first" r:id="rId5"/>
          <w:type w:val="nextPage"/>
          <w:pgSz w:w="12240" w:h="15840"/>
          <w:pgMar w:left="1800" w:right="1296" w:gutter="0" w:header="432" w:top="1440" w:footer="360" w:bottom="1152"/>
          <w:pgNumType w:start="1" w:fmt="decimal"/>
          <w:formProt w:val="false"/>
          <w:titlePg/>
          <w:textDirection w:val="lrTb"/>
        </w:sectPr>
        <w:pStyle w:val="Normal"/>
        <w:widowControl/>
        <w:rPr/>
      </w:pPr>
      <w:r>
        <w:rPr/>
        <w:t>January 18, 2001</w:t>
      </w:r>
    </w:p>
    <w:p>
      <w:pPr>
        <w:pStyle w:val="BodyText"/>
        <w:ind w:hanging="0" w:end="0"/>
        <w:jc w:val="center"/>
        <w:rPr>
          <w:b/>
          <w:bCs/>
        </w:rPr>
      </w:pPr>
      <w:r>
        <w:rPr>
          <w:b/>
          <w:bCs/>
        </w:rPr>
        <w:t>Declaration Of Kent M. Harvey</w:t>
      </w:r>
    </w:p>
    <w:p>
      <w:pPr>
        <w:pStyle w:val="BodyText"/>
        <w:ind w:hanging="0" w:end="0"/>
        <w:rPr/>
      </w:pPr>
      <w:r>
        <w:rPr/>
      </w:r>
    </w:p>
    <w:p>
      <w:pPr>
        <w:pStyle w:val="BodyText"/>
        <w:ind w:hanging="0" w:end="0"/>
        <w:rPr/>
      </w:pPr>
      <w:r>
        <w:rPr/>
        <w:t>I, Kent M. Harvey, declare:</w:t>
      </w:r>
    </w:p>
    <w:p>
      <w:pPr>
        <w:pStyle w:val="BodyText"/>
        <w:numPr>
          <w:ilvl w:val="0"/>
          <w:numId w:val="4"/>
        </w:numPr>
        <w:tabs>
          <w:tab w:val="clear" w:pos="720"/>
          <w:tab w:val="left" w:pos="0" w:leader="none"/>
        </w:tabs>
        <w:ind w:firstLine="720" w:start="0"/>
        <w:rPr/>
      </w:pPr>
      <w:r>
        <w:rPr/>
        <w:tab/>
        <w:t>I am the Senior Vice President, Chief Financial Officer, and Treasurer for Pacific Gas and Electric Company (PG&amp;E).  In that capacity, I am responsible for the procurement of natural gas for PG&amp;E’s residential and other high priority customers.  I make this declaration in support of PG&amp;E’s Emergency Application For An Immediate Finding Of A Gas Supply Emergency And An Order Directing Southern California Gas To Provide Mutual Assistance.</w:t>
      </w:r>
    </w:p>
    <w:p>
      <w:pPr>
        <w:pStyle w:val="BodyText"/>
        <w:numPr>
          <w:ilvl w:val="0"/>
          <w:numId w:val="4"/>
        </w:numPr>
        <w:tabs>
          <w:tab w:val="clear" w:pos="720"/>
          <w:tab w:val="left" w:pos="0" w:leader="none"/>
        </w:tabs>
        <w:ind w:firstLine="720" w:start="0"/>
        <w:rPr>
          <w:b/>
          <w:bCs/>
        </w:rPr>
      </w:pPr>
      <w:r>
        <w:rPr/>
        <w:t xml:space="preserve">PG&amp;E’s public utility service territory encompasses an area of 70,000 square miles with a total population of approximately 13 million people.  PG&amp;E provides service in all or portions of 48 out of 58 counties in California.  PG&amp;E procures natural gas on behalf of approximately 3.9 million residential and small commercial customer accounts.  These are defined as “core” customers under California law and regulation.  PG&amp;E also delivers natural gas to “non-core” customers, which includes a number of gas-fired electric power plants.  California is currently experiencing a crisis in its restructured electric markets.  This crisis now threatens to seriously impact PG&amp;E’s ability to purchase and deliver natural gas to both core and noncore customers, including many of the electric generators that depend on natural gas.  In this declaration, I briefly explain how the current crisis is likely to immediately and catastrophically affect PG&amp;E’s ability to provide natural gas to its core and non-core customers.   </w:t>
      </w:r>
    </w:p>
    <w:p>
      <w:pPr>
        <w:pStyle w:val="BodyText"/>
        <w:numPr>
          <w:ilvl w:val="0"/>
          <w:numId w:val="0"/>
        </w:numPr>
        <w:ind w:hanging="0" w:start="0" w:end="0"/>
        <w:jc w:val="center"/>
        <w:rPr/>
      </w:pPr>
      <w:r>
        <w:rPr/>
        <w:tab/>
      </w:r>
      <w:r>
        <w:rPr>
          <w:b/>
          <w:bCs/>
        </w:rPr>
        <w:t>The Electric Market Crisis of 2000</w:t>
      </w:r>
    </w:p>
    <w:p>
      <w:pPr>
        <w:pStyle w:val="BodyText"/>
        <w:numPr>
          <w:ilvl w:val="0"/>
          <w:numId w:val="4"/>
        </w:numPr>
        <w:tabs>
          <w:tab w:val="clear" w:pos="720"/>
          <w:tab w:val="left" w:pos="0" w:leader="none"/>
        </w:tabs>
        <w:ind w:firstLine="720" w:start="0"/>
        <w:rPr/>
      </w:pPr>
      <w:r>
        <w:rPr/>
        <w:t xml:space="preserve">       </w:t>
      </w:r>
      <w:r>
        <w:rPr/>
        <w:t>Beginning in June 2000, wholesale prices for electricity established by the California Power Exchange and Independent System Operator unexpectedly skyrocketed. At the same time, PG&amp;E has been prevented from recouping its massive cost increases from ratepayers.  As a result, PG&amp;E has been forced to pay far more to purchase electricity at wholesale than its retail revenues bring in.  This enormous spread between PG&amp;E’s wholesale power costs and the frozen rates has created a staggering operational shortfall, which reached $6.6 billion as of December 31, 2000.</w:t>
      </w:r>
    </w:p>
    <w:p>
      <w:pPr>
        <w:pStyle w:val="BodyText"/>
        <w:numPr>
          <w:ilvl w:val="0"/>
          <w:numId w:val="4"/>
        </w:numPr>
        <w:tabs>
          <w:tab w:val="clear" w:pos="720"/>
          <w:tab w:val="left" w:pos="0" w:leader="none"/>
        </w:tabs>
        <w:ind w:firstLine="720" w:start="0"/>
        <w:rPr/>
      </w:pPr>
      <w:r>
        <w:rPr/>
        <w:t xml:space="preserve">       </w:t>
      </w:r>
      <w:r>
        <w:rPr/>
        <w:t xml:space="preserve">Given PG&amp;E’s staggering shortfall, the only way PG&amp;E has been able to buy power for its customers has been to borrow money.  Unfortunately, PG&amp;E has exhausted its ability to borrow.  Attached please find a form 8-K which PG&amp;E Corp. filed with the Securities and Exchange Commission yesterday.  Given the developments described in that report, PG&amp;E is now unable to borrow additional funds.  </w:t>
      </w:r>
    </w:p>
    <w:p>
      <w:pPr>
        <w:pStyle w:val="BodyText"/>
        <w:ind w:hanging="0" w:end="0"/>
        <w:jc w:val="center"/>
        <w:rPr>
          <w:b/>
          <w:bCs/>
        </w:rPr>
      </w:pPr>
      <w:r>
        <w:rPr>
          <w:b/>
          <w:bCs/>
        </w:rPr>
        <w:t>The Current Natural Gas Crisis</w:t>
      </w:r>
    </w:p>
    <w:p>
      <w:pPr>
        <w:pStyle w:val="BodyText"/>
        <w:rPr/>
      </w:pPr>
      <w:r>
        <w:rPr/>
        <w:t>5.</w:t>
        <w:tab/>
        <w:t>California’s on-going electric crisis is now threatening to impact PG&amp;E’s natural gas customers.  PG&amp;E purchases natural gas from approximately 20 to 30 suppliers on a daily, monthly and multi-monthly basis.  PG&amp;E and most of these suppliers have entered into master agreements, which provide general contract terms and conditions for the sale of natural gas.  PG&amp;E and its suppliers then enter into individual agreements for certain quantities of natural gas to be delivered during a set period of time at a set price.  These individual transactions are made under the terms of the master agreements.  Some of these transactions may be for a period as short as a day and others as long as 6 months to a year.  Under most of the master agreements, sellers deliver natural gas to PG&amp;E and are paid a month later based on the agreed to price and any true-up between the parties.  PG&amp;E’s Gas Procurement Department had contracted for approximately 1000 MMcf per day of gas from suppliers for core customers for deliveries of January, with lower amounts contracted for in February.</w:t>
      </w:r>
      <w:r>
        <w:rPr>
          <w:rFonts w:eastAsia="Arial" w:cs="Arial" w:ascii="Arial" w:hAnsi="Arial"/>
        </w:rPr>
        <w:t xml:space="preserve">  </w:t>
      </w:r>
      <w:r>
        <w:rPr/>
        <w:t xml:space="preserve"> </w:t>
      </w:r>
    </w:p>
    <w:p>
      <w:pPr>
        <w:pStyle w:val="BodyText"/>
        <w:rPr/>
      </w:pPr>
      <w:r>
        <w:rPr/>
        <w:t>6.     PG&amp;E started receiving requests for “adequate assurances” from certain of its gas suppliers in December 2000.  These suppliers indicated they were concerned about PG&amp;E’s financial condition and requested letters of credit from PG&amp;E or accelerated payments for gas already delivered.  In an effort to ensure continued gas deliveries, PG&amp;E agreed to provide accelerated payments to these suppliers.  However, as more suppliers began demanding such terms, we had no choice but to inform all of the suppliers that we could no longer make accelerated payments to any suppliers without having a detrimental effect on PG&amp;E’s ability to pay its ongoing costs.  PG&amp;E arranged a January 10</w:t>
      </w:r>
      <w:r>
        <w:rPr>
          <w:vertAlign w:val="superscript"/>
        </w:rPr>
        <w:t>th</w:t>
      </w:r>
      <w:r>
        <w:rPr/>
        <w:t xml:space="preserve"> meeting with all of its gas suppliers to explain the current situation.</w:t>
      </w:r>
    </w:p>
    <w:p>
      <w:pPr>
        <w:pStyle w:val="BodyText"/>
        <w:ind w:hanging="0" w:end="0"/>
        <w:jc w:val="center"/>
        <w:rPr>
          <w:b/>
          <w:bCs/>
        </w:rPr>
      </w:pPr>
      <w:r>
        <w:rPr>
          <w:b/>
          <w:bCs/>
        </w:rPr>
        <w:t>January 10, 2001 Meeting With Gas Suppliers</w:t>
      </w:r>
    </w:p>
    <w:p>
      <w:pPr>
        <w:pStyle w:val="BodyText"/>
        <w:rPr/>
      </w:pPr>
      <w:r>
        <w:rPr/>
        <w:t xml:space="preserve">7.      I attended the January 10 meeting to personally describe the nature of PG&amp;E’s current financial situation, and to assure the suppliers of PG&amp;E’s continuing intent to pay them on a monthly basis in accordance with our long-standing practice.  Gordon Smith, PG&amp;E’s Chief Executive Officer, joined me in the meeting to emphasize the importance of our continued business relationship, our commitment to pay them, and the grave implications of terminating our customers’ natural gas supply. </w:t>
      </w:r>
    </w:p>
    <w:p>
      <w:pPr>
        <w:pStyle w:val="BodyText"/>
        <w:rPr/>
      </w:pPr>
      <w:r>
        <w:rPr/>
        <w:t xml:space="preserve">8.      In the meeting, we explained the unprecedented nature of PG&amp;E’s financial condition, which was triggered by the unexpectedly high wholesale prices which PG&amp;E has had to pay for electricity.  We emphasized that, unlike wholesale electric costs, PG&amp;E’s natural gas costs are recovered in the revenues it receives from its customers.  Under our normal monthly payment schedule, which has been the industry standard for many years, PG&amp;E’s gas revenues are consistent with its costs over time. </w:t>
      </w:r>
    </w:p>
    <w:p>
      <w:pPr>
        <w:pStyle w:val="BodyText"/>
        <w:rPr/>
      </w:pPr>
      <w:r>
        <w:rPr/>
        <w:t xml:space="preserve">9.       I further explained that because PG&amp;E cannot recover the high cost of wholesale electric power in its retail rates, it cannot provide accelerated payments or other forms of credit assurances to the natural gas suppliers, as some had requested.  To make such accelerated payments , PG&amp;E would further aggravate its financial condition by losing almost two months of working capital, or about $500 million.  In short, suppliers’ demands for accelerated payments cannot be met because they would jeopardize PG&amp;E’s financial viability. </w:t>
        <w:tab/>
      </w:r>
    </w:p>
    <w:p>
      <w:pPr>
        <w:pStyle w:val="BodyText"/>
        <w:ind w:hanging="0" w:end="0"/>
        <w:rPr/>
      </w:pPr>
      <w:r>
        <w:rPr/>
        <w:tab/>
        <w:t>11.</w:t>
        <w:tab/>
        <w:t xml:space="preserve">I also explained that PG&amp;E is pursuing various other alternatives to deal with the situation.  PG&amp;E has asked the Governor to use his emergency powers to permit the State to provide temporary financial assistance sufficient to meet the demands of gas suppliers, such as by functioning as in interim purchaser or otherwise provide credit.  PG&amp;E has also requested the Department of Energy use any emergency federal powers which can be brought to bear on this emergency.                              </w:t>
        <w:tab/>
      </w:r>
    </w:p>
    <w:p>
      <w:pPr>
        <w:pStyle w:val="BodyText"/>
        <w:spacing w:lineRule="auto" w:line="240" w:before="120" w:after="0"/>
        <w:jc w:val="center"/>
        <w:rPr/>
      </w:pPr>
      <w:r>
        <w:rPr/>
        <w:t xml:space="preserve">   </w:t>
      </w:r>
      <w:r>
        <w:rPr>
          <w:b/>
          <w:bCs/>
        </w:rPr>
        <w:t xml:space="preserve"> </w:t>
      </w:r>
      <w:r>
        <w:rPr>
          <w:b/>
          <w:bCs/>
        </w:rPr>
        <w:t xml:space="preserve">Several Large Suppliers Have Terminated Or Threatened </w:t>
      </w:r>
    </w:p>
    <w:p>
      <w:pPr>
        <w:pStyle w:val="BodyText"/>
        <w:spacing w:lineRule="auto" w:line="240"/>
        <w:ind w:hanging="0" w:end="0"/>
        <w:jc w:val="center"/>
        <w:rPr>
          <w:b/>
          <w:bCs/>
        </w:rPr>
      </w:pPr>
      <w:r>
        <w:rPr>
          <w:b/>
          <w:bCs/>
        </w:rPr>
        <w:t>To Terminate Current Gas Deliveries</w:t>
      </w:r>
    </w:p>
    <w:p>
      <w:pPr>
        <w:pStyle w:val="BodyText"/>
        <w:numPr>
          <w:ilvl w:val="0"/>
          <w:numId w:val="5"/>
        </w:numPr>
        <w:tabs>
          <w:tab w:val="clear" w:pos="720"/>
          <w:tab w:val="left" w:pos="0" w:leader="none"/>
        </w:tabs>
        <w:ind w:firstLine="360" w:start="360"/>
        <w:rPr/>
      </w:pPr>
      <w:r>
        <w:rPr/>
        <w:t xml:space="preserve">     </w:t>
      </w:r>
      <w:r>
        <w:rPr/>
        <w:t xml:space="preserve">Despite PG&amp;E’s earlier accelerated payments and the assurances given at the January 10 meeting, one large supplier has already ceased gas deliveries to PG&amp;E and others have threatened to follow.  J. Aron &amp; Company (a subsidiary of Goldman, Sachs), whose volumes account for approximately 14 percent of the flowing supply used to serve our core customers this month, (138 MM already has terminated service as of January 9.  Another supplier, Western Gas Resources,  suspended gas deliveries effective January 13.  Sempra Energy, which now supplies over 12% of PG&amp;E’s core gas supplies, requested additional credit assurance, and on January 16, declared PG&amp;E in breach of the gas supply agreement.  Duke Energy (through two different affiliates) has requested additional credit assurances and has represented that Duke may suspend deliveries effective January 19.  In addition, Coastal Merchant Energy requested additional credit assurances by early next week.   The Duke and Coastal supplies together add up to approximately 11% of the flowing supplies used to serve core customers this month. I am concerned that, if such assurances are not provided, Sempra, Duke, and Coastal also will suspend deliveries.  In total, the volumes represented by the above-named companies constitute approximately 37 percent of PG&amp;E’s January flowing supply for core customers.   As described above, other significant gas suppliers had demanded further assurances in December.  These suppliers may believe they are justified in terminating gas deliveries to PG&amp;E at any time.  They supply approximately 34 percent of PG&amp;E's January flowing supply for core customers.  </w:t>
      </w:r>
      <w:r>
        <w:rPr>
          <w:b/>
          <w:bCs/>
        </w:rPr>
        <w:t xml:space="preserve"> </w:t>
      </w:r>
      <w:r>
        <w:rPr/>
        <w:t xml:space="preserve">Thus approximately 71% of PG&amp;E's January flowing supply is at risk of termination.  </w:t>
      </w:r>
    </w:p>
    <w:p>
      <w:pPr>
        <w:pStyle w:val="BodyText"/>
        <w:numPr>
          <w:ilvl w:val="0"/>
          <w:numId w:val="5"/>
        </w:numPr>
        <w:tabs>
          <w:tab w:val="clear" w:pos="720"/>
          <w:tab w:val="left" w:pos="0" w:leader="none"/>
        </w:tabs>
        <w:ind w:firstLine="360" w:start="360"/>
        <w:rPr/>
      </w:pPr>
      <w:r>
        <w:rPr/>
        <w:t xml:space="preserve">     </w:t>
      </w:r>
      <w:r>
        <w:rPr/>
        <w:t>On January 16, 2001, Standard and Poor’s cut the credit and debt rating of PG&amp;E to low junk grades due to the “heightened probability of the utility’s imminent insolvency....”  On January 17, Moody’s followed suit.</w:t>
      </w:r>
    </w:p>
    <w:p>
      <w:pPr>
        <w:pStyle w:val="BodyText"/>
        <w:spacing w:lineRule="auto" w:line="240" w:before="120" w:after="0"/>
        <w:ind w:hanging="0" w:end="0"/>
        <w:jc w:val="center"/>
        <w:rPr>
          <w:b/>
          <w:bCs/>
        </w:rPr>
      </w:pPr>
      <w:r>
        <w:rPr>
          <w:b/>
          <w:bCs/>
        </w:rPr>
        <w:t xml:space="preserve">The Impact Of Current And Threatened Terminations Will Be Immediate </w:t>
      </w:r>
    </w:p>
    <w:p>
      <w:pPr>
        <w:pStyle w:val="BodyText"/>
        <w:spacing w:lineRule="auto" w:line="240"/>
        <w:ind w:hanging="0" w:end="0"/>
        <w:jc w:val="center"/>
        <w:rPr>
          <w:b/>
          <w:bCs/>
        </w:rPr>
      </w:pPr>
      <w:r>
        <w:rPr>
          <w:b/>
          <w:bCs/>
        </w:rPr>
        <w:t>and Potentially Catastrophic For Northern California</w:t>
      </w:r>
    </w:p>
    <w:p>
      <w:pPr>
        <w:pStyle w:val="BodyText"/>
        <w:ind w:hanging="0" w:end="0"/>
        <w:rPr/>
      </w:pPr>
      <w:r>
        <w:rPr/>
        <w:tab/>
        <w:t>14.</w:t>
        <w:tab/>
        <w:t xml:space="preserve">With the supply terminations we already have suffered or will suffer under the notices we have received, our ability to serve core needs, and avoid curtailment of power plant deliveries, is gravely compromised.  The current and threatened terminations could leave millions of Californians without heat and could cause widespread electric blackouts throughout California.  </w:t>
      </w:r>
    </w:p>
    <w:p>
      <w:pPr>
        <w:pStyle w:val="BodyText"/>
        <w:rPr/>
      </w:pPr>
      <w:r>
        <w:rPr/>
        <w:t>15.</w:t>
        <w:tab/>
        <w:t>In response to the current terminations, PG&amp;E has been compelled to over-draw gas from storage in order to make up the lost volumes.  If PG&amp;E’s service territory, which covers most of northern California, experiences a cold snap, or if the threatened terminations occur, PG&amp;E will not have sufficient natural gas supplies for its core customers.  Under CPUC approved operating procedures, insufficient gas supplies for core customers would result in diversions of gas supplies away from non</w:t>
        <w:noBreakHyphen/>
        <w:t xml:space="preserve">core customers, including gas-fired electric generators. </w:t>
      </w:r>
    </w:p>
    <w:p>
      <w:pPr>
        <w:pStyle w:val="BodyText"/>
        <w:rPr/>
      </w:pPr>
      <w:r>
        <w:rPr/>
        <w:t>16.</w:t>
        <w:tab/>
        <w:t>In the event of a diversion of gas from non</w:t>
        <w:noBreakHyphen/>
        <w:t>core customers, I would expect that many affected non-core customers (including gas-fired generators), or their gas suppliers, would simply halt deliveries of gas into PG&amp;E’s service territory and shut down their gas-fired operation.  Therefore, if diversions were to occur, I expect that much of the non-core supplies available for such diversions could simply disappear within a matter of two to three days.  Moreover, because approximately two-thirds of the divertible gas on PG&amp;E’s gas system is consumed by electric generators, any diversions of non</w:t>
        <w:noBreakHyphen/>
        <w:t>core gas will decrease the level of electric generation in PG&amp;E’s service territory and lead to a deepening of the supply crisis on the electric system.</w:t>
      </w:r>
    </w:p>
    <w:p>
      <w:pPr>
        <w:pStyle w:val="BodyText"/>
        <w:rPr/>
      </w:pPr>
      <w:r>
        <w:rPr/>
        <w:t>17.</w:t>
        <w:tab/>
        <w:t>Once non-core customers stop bringing gas into California, then PG&amp;E will have to</w:t>
      </w:r>
      <w:r>
        <w:rPr>
          <w:i/>
          <w:iCs/>
          <w:color w:val="FF0000"/>
        </w:rPr>
        <w:t xml:space="preserve"> </w:t>
      </w:r>
      <w:r>
        <w:rPr/>
        <w:t>apply extraordinary operating measures to its gas system in order to maintain sufficient pressure and prevent a total collapse.  Entire counties could lose gas service and would not have service reinstated until the gas system could be repressurized.  Repressurization would require the acquisition of significant volumes of gas, which would not be possible until PG&amp;E’s credit was restored or other equivalent arrangements were made.  Gas outages also would require PG&amp;E to go house-to-house in its service territory of over 3 million gas customers in order to re</w:t>
        <w:noBreakHyphen/>
        <w:t>light appliance pilot lights for affected customers, and could present serious safety issues if not handled with proper care and a substantial allocation of resources.  The immediate and potentially catastrophic impact of the current and threatened supply terminations is more fully described in the declaration of Kirk Johnson that is attached to PG&amp;E’s Application.  Simply stated, the current and threatened gas supply terminations could leave millions of Californians in the dark and without heat at any time.</w:t>
      </w:r>
    </w:p>
    <w:p>
      <w:pPr>
        <w:pStyle w:val="BodyText"/>
        <w:rPr/>
      </w:pPr>
      <w:r>
        <w:rPr/>
        <w:t>I declare under penalty of perjury under the laws of the State of California the foregoing is true and correct, and I executed this declaration on January 18, 2001 in San Francisco, California.</w:t>
      </w:r>
    </w:p>
    <w:p>
      <w:pPr>
        <w:pStyle w:val="Normal"/>
        <w:spacing w:lineRule="auto" w:line="240"/>
        <w:rPr/>
      </w:pPr>
      <w:r>
        <w:rPr/>
      </w:r>
    </w:p>
    <w:p>
      <w:pPr>
        <w:pStyle w:val="Normal"/>
        <w:spacing w:lineRule="auto" w:line="240"/>
        <w:rPr/>
      </w:pPr>
      <w:r>
        <w:rPr/>
      </w:r>
    </w:p>
    <w:p>
      <w:pPr>
        <w:pStyle w:val="Normal"/>
        <w:spacing w:lineRule="auto" w:line="240"/>
        <w:rPr/>
      </w:pPr>
      <w:r>
        <w:rPr/>
      </w:r>
    </w:p>
    <w:tbl>
      <w:tblPr>
        <w:tblW w:w="9378" w:type="dxa"/>
        <w:jc w:val="start"/>
        <w:tblInd w:w="0" w:type="dxa"/>
        <w:tblLayout w:type="fixed"/>
        <w:tblCellMar>
          <w:top w:w="0" w:type="dxa"/>
          <w:start w:w="108" w:type="dxa"/>
          <w:bottom w:w="0" w:type="dxa"/>
          <w:end w:w="108" w:type="dxa"/>
        </w:tblCellMar>
      </w:tblPr>
      <w:tblGrid>
        <w:gridCol w:w="4518"/>
        <w:gridCol w:w="4860"/>
      </w:tblGrid>
      <w:tr>
        <w:trPr/>
        <w:tc>
          <w:tcPr>
            <w:tcW w:w="4518" w:type="dxa"/>
            <w:tcBorders/>
          </w:tcPr>
          <w:p>
            <w:pPr>
              <w:pStyle w:val="Normal"/>
              <w:snapToGrid w:val="false"/>
              <w:spacing w:lineRule="auto" w:line="240"/>
              <w:rPr/>
            </w:pPr>
            <w:r>
              <w:rPr/>
            </w:r>
          </w:p>
        </w:tc>
        <w:tc>
          <w:tcPr>
            <w:tcW w:w="4860" w:type="dxa"/>
            <w:tcBorders/>
          </w:tcPr>
          <w:p>
            <w:pPr>
              <w:pStyle w:val="Normal"/>
              <w:spacing w:lineRule="auto" w:line="240"/>
              <w:jc w:val="center"/>
              <w:rPr/>
            </w:pPr>
            <w:r>
              <w:rPr/>
              <w:t>_____________________________________</w:t>
            </w:r>
          </w:p>
          <w:p>
            <w:pPr>
              <w:pStyle w:val="Normal"/>
              <w:spacing w:lineRule="auto" w:line="240"/>
              <w:jc w:val="center"/>
              <w:rPr/>
            </w:pPr>
            <w:r>
              <w:rPr/>
              <w:t>Kent M. Harvey</w:t>
            </w:r>
          </w:p>
        </w:tc>
      </w:tr>
    </w:tbl>
    <w:p>
      <w:pPr>
        <w:pStyle w:val="Heading"/>
        <w:spacing w:before="240" w:after="240"/>
        <w:rPr/>
      </w:pPr>
      <w:r>
        <w:rPr/>
      </w:r>
      <w:bookmarkStart w:id="1" w:name="PleadingCPUCModel"/>
      <w:bookmarkStart w:id="2" w:name="PleadingCPUCModel"/>
      <w:bookmarkEnd w:id="2"/>
    </w:p>
    <w:sectPr>
      <w:headerReference w:type="default" r:id="rId6"/>
      <w:headerReference w:type="first" r:id="rId7"/>
      <w:footerReference w:type="default" r:id="rId8"/>
      <w:footerReference w:type="first" r:id="rId9"/>
      <w:type w:val="nextPage"/>
      <w:pgSz w:w="12240" w:h="15840"/>
      <w:pgMar w:left="1800" w:right="605" w:gutter="0" w:header="432" w:top="2304" w:footer="360" w:bottom="108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w:hAnsi="Arial" w:eastAsia="Arial" w:cs="Arial"/>
        <w:sz w:val="24"/>
        <w:szCs w:val="24"/>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24"/>
        <w:szCs w:val="24"/>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64135" cy="152400"/>
              <wp:effectExtent l="0" t="0" r="0" b="0"/>
              <wp:wrapSquare wrapText="bothSides"/>
              <wp:docPr id="5" name="Frame5"/>
              <a:graphic xmlns:a="http://schemas.openxmlformats.org/drawingml/2006/main">
                <a:graphicData uri="http://schemas.microsoft.com/office/word/2010/wordprocessingShape">
                  <wps:wsp>
                    <wps:cNvSpPr txBox="1"/>
                    <wps:spPr>
                      <a:xfrm>
                        <a:off x="0" y="0"/>
                        <a:ext cx="64135" cy="1524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2pt;mso-wrap-distance-left:0pt;mso-wrap-distance-right:0pt;mso-wrap-distance-top:0pt;mso-wrap-distance-bottom:0pt;margin-top:0.05pt;mso-position-vertical-relative:text;margin-left:243.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1" allowOverlap="1" relativeHeight="0">
              <wp:simplePos x="0" y="0"/>
              <wp:positionH relativeFrom="column">
                <wp:align>left</wp:align>
              </wp:positionH>
              <wp:positionV relativeFrom="line">
                <wp:posOffset>635</wp:posOffset>
              </wp:positionV>
              <wp:extent cx="5806440" cy="14605"/>
              <wp:effectExtent l="0" t="0" r="0" b="0"/>
              <wp:wrapNone/>
              <wp:docPr id="1" name="Frame3"/>
              <a:graphic xmlns:a="http://schemas.openxmlformats.org/drawingml/2006/main">
                <a:graphicData uri="http://schemas.microsoft.com/office/word/2010/wordprocessingShape">
                  <wps:wsp>
                    <wps:cNvSpPr txBox="1"/>
                    <wps:spPr>
                      <a:xfrm>
                        <a:off x="0" y="0"/>
                        <a:ext cx="5806440" cy="14605"/>
                      </a:xfrm>
                      <a:prstGeom prst="rect"/>
                      <a:solidFill>
                        <a:srgbClr val="FFFFFF"/>
                      </a:solidFill>
                    </wps:spPr>
                    <wps:txbx>
                      <w:txbxContent>
                        <w:p>
                          <w:pPr>
                            <w:pStyle w:val="Header"/>
                            <w:jc w:val="end"/>
                            <w:rPr>
                              <w:rFonts w:ascii="Arial" w:hAnsi="Arial" w:eastAsia="Arial" w:cs="Arial"/>
                              <w:b/>
                              <w:bCs/>
                              <w:i/>
                              <w:i/>
                              <w:iCs/>
                            </w:rPr>
                          </w:pPr>
                          <w:r>
                            <w:rPr>
                              <w:rFonts w:eastAsia="Arial" w:cs="Arial" w:ascii="Arial" w:hAnsi="Arial"/>
                              <w:b/>
                              <w:bCs/>
                              <w:i/>
                              <w:iCs/>
                            </w:rPr>
                          </w:r>
                        </w:p>
                        <w:p>
                          <w:pPr>
                            <w:pStyle w:val="Header"/>
                            <w:rPr>
                              <w:rFonts w:ascii="Arial" w:hAnsi="Arial" w:eastAsia="Arial" w:cs="Arial"/>
                              <w:b/>
                              <w:bCs/>
                              <w:i/>
                              <w:i/>
                              <w:iCs/>
                            </w:rPr>
                          </w:pPr>
                          <w:r>
                            <w:rPr>
                              <w:rFonts w:eastAsia="Arial" w:cs="Arial" w:ascii="Arial" w:hAnsi="Arial"/>
                              <w:b/>
                              <w:bCs/>
                              <w:i/>
                              <w:iCs/>
                            </w:rPr>
                          </w:r>
                        </w:p>
                      </w:txbxContent>
                    </wps:txbx>
                    <wps:bodyPr anchor="t" lIns="0" tIns="0" rIns="0" bIns="0">
                      <a:noAutofit/>
                    </wps:bodyPr>
                  </wps:wsp>
                </a:graphicData>
              </a:graphic>
            </wp:anchor>
          </w:drawing>
        </mc:Choice>
        <mc:Fallback>
          <w:pict>
            <v:rect style="position:absolute;rotation:-0;width:457.2pt;height:1.1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end"/>
                      <w:rPr>
                        <w:rFonts w:ascii="Arial" w:hAnsi="Arial" w:eastAsia="Arial" w:cs="Arial"/>
                        <w:b/>
                        <w:bCs/>
                        <w:i/>
                        <w:i/>
                        <w:iCs/>
                      </w:rPr>
                    </w:pPr>
                    <w:r>
                      <w:rPr>
                        <w:rFonts w:eastAsia="Arial" w:cs="Arial" w:ascii="Arial" w:hAnsi="Arial"/>
                        <w:b/>
                        <w:bCs/>
                        <w:i/>
                        <w:iCs/>
                      </w:rPr>
                    </w:r>
                  </w:p>
                  <w:p>
                    <w:pPr>
                      <w:pStyle w:val="Header"/>
                      <w:rPr>
                        <w:rFonts w:ascii="Arial" w:hAnsi="Arial" w:eastAsia="Arial" w:cs="Arial"/>
                        <w:b/>
                        <w:bCs/>
                        <w:i/>
                        <w:i/>
                        <w:iCs/>
                      </w:rPr>
                    </w:pPr>
                    <w:r>
                      <w:rPr>
                        <w:rFonts w:eastAsia="Arial" w:cs="Arial" w:ascii="Arial" w:hAnsi="Arial"/>
                        <w:b/>
                        <w:bCs/>
                        <w:i/>
                        <w:iCs/>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6">
              <wp:simplePos x="0" y="0"/>
              <wp:positionH relativeFrom="column">
                <wp:align>left</wp:align>
              </wp:positionH>
              <wp:positionV relativeFrom="line">
                <wp:posOffset>635</wp:posOffset>
              </wp:positionV>
              <wp:extent cx="6245225" cy="457200"/>
              <wp:effectExtent l="0" t="0" r="0" b="0"/>
              <wp:wrapNone/>
              <wp:docPr id="3" name="Frame6"/>
              <a:graphic xmlns:a="http://schemas.openxmlformats.org/drawingml/2006/main">
                <a:graphicData uri="http://schemas.microsoft.com/office/word/2010/wordprocessingShape">
                  <wps:wsp>
                    <wps:cNvSpPr txBox="1"/>
                    <wps:spPr>
                      <a:xfrm>
                        <a:off x="0" y="0"/>
                        <a:ext cx="6245225" cy="457200"/>
                      </a:xfrm>
                      <a:prstGeom prst="rect"/>
                      <a:solidFill>
                        <a:srgbClr val="FFFFFF"/>
                      </a:solidFill>
                    </wps:spPr>
                    <wps:txbx>
                      <w:txbxContent>
                        <w:p>
                          <w:pPr>
                            <w:pStyle w:val="Header"/>
                            <w:rPr>
                              <w:rFonts w:ascii="Arial" w:hAnsi="Arial" w:eastAsia="Arial" w:cs="Arial"/>
                            </w:rPr>
                          </w:pPr>
                          <w:r>
                            <w:rPr>
                              <w:rFonts w:eastAsia="Arial" w:cs="Arial" w:ascii="Arial" w:hAnsi="Arial"/>
                            </w:rPr>
                          </w:r>
                        </w:p>
                        <w:p>
                          <w:pPr>
                            <w:pStyle w:val="Header"/>
                            <w:rPr>
                              <w:rFonts w:ascii="Arial" w:hAnsi="Arial" w:eastAsia="Arial" w:cs="Arial"/>
                            </w:rPr>
                          </w:pPr>
                          <w:r>
                            <w:rPr>
                              <w:rFonts w:eastAsia="Arial" w:cs="Arial" w:ascii="Arial" w:hAnsi="Arial"/>
                            </w:rPr>
                          </w:r>
                        </w:p>
                        <w:p>
                          <w:pPr>
                            <w:pStyle w:val="Header"/>
                            <w:rPr>
                              <w:rFonts w:ascii="Arial" w:hAnsi="Arial" w:eastAsia="Arial" w:cs="Arial"/>
                            </w:rPr>
                          </w:pPr>
                          <w:r>
                            <w:rPr>
                              <w:rFonts w:eastAsia="Arial" w:cs="Arial" w:ascii="Arial" w:hAnsi="Arial"/>
                            </w:rPr>
                          </w:r>
                        </w:p>
                      </w:txbxContent>
                    </wps:txbx>
                    <wps:bodyPr anchor="t" lIns="0" tIns="0" rIns="0" bIns="0">
                      <a:noAutofit/>
                    </wps:bodyPr>
                  </wps:wsp>
                </a:graphicData>
              </a:graphic>
            </wp:anchor>
          </w:drawing>
        </mc:Choice>
        <mc:Fallback>
          <w:pict>
            <v:rect style="position:absolute;rotation:-0;width:491.75pt;height:36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rFonts w:ascii="Arial" w:hAnsi="Arial" w:eastAsia="Arial" w:cs="Arial"/>
                      </w:rPr>
                    </w:pPr>
                    <w:r>
                      <w:rPr>
                        <w:rFonts w:eastAsia="Arial" w:cs="Arial" w:ascii="Arial" w:hAnsi="Arial"/>
                      </w:rPr>
                    </w:r>
                  </w:p>
                  <w:p>
                    <w:pPr>
                      <w:pStyle w:val="Header"/>
                      <w:rPr>
                        <w:rFonts w:ascii="Arial" w:hAnsi="Arial" w:eastAsia="Arial" w:cs="Arial"/>
                      </w:rPr>
                    </w:pPr>
                    <w:r>
                      <w:rPr>
                        <w:rFonts w:eastAsia="Arial" w:cs="Arial" w:ascii="Arial" w:hAnsi="Arial"/>
                      </w:rPr>
                    </w:r>
                  </w:p>
                  <w:p>
                    <w:pPr>
                      <w:pStyle w:val="Header"/>
                      <w:rPr>
                        <w:rFonts w:ascii="Arial" w:hAnsi="Arial" w:eastAsia="Arial" w:cs="Arial"/>
                      </w:rPr>
                    </w:pPr>
                    <w:r>
                      <w:rPr>
                        <w:rFonts w:eastAsia="Arial" w:cs="Arial" w:ascii="Arial" w:hAnsi="Arial"/>
                      </w:rPr>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7">
              <wp:simplePos x="0" y="0"/>
              <wp:positionH relativeFrom="column">
                <wp:align>left</wp:align>
              </wp:positionH>
              <wp:positionV relativeFrom="line">
                <wp:posOffset>635</wp:posOffset>
              </wp:positionV>
              <wp:extent cx="6245225" cy="152400"/>
              <wp:effectExtent l="0" t="0" r="0" b="0"/>
              <wp:wrapNone/>
              <wp:docPr id="4" name="Frame4"/>
              <a:graphic xmlns:a="http://schemas.openxmlformats.org/drawingml/2006/main">
                <a:graphicData uri="http://schemas.microsoft.com/office/word/2010/wordprocessingShape">
                  <wps:wsp>
                    <wps:cNvSpPr txBox="1"/>
                    <wps:spPr>
                      <a:xfrm>
                        <a:off x="0" y="0"/>
                        <a:ext cx="6245225" cy="152400"/>
                      </a:xfrm>
                      <a:prstGeom prst="rect"/>
                      <a:solidFill>
                        <a:srgbClr val="FFFFFF"/>
                      </a:solidFill>
                    </wps:spPr>
                    <wps:txbx>
                      <w:txbxContent>
                        <w:p>
                          <w:pPr>
                            <w:pStyle w:val="Header"/>
                            <w:rPr/>
                          </w:pPr>
                          <w:r>
                            <w:rPr/>
                          </w:r>
                        </w:p>
                      </w:txbxContent>
                    </wps:txbx>
                    <wps:bodyPr anchor="t" lIns="0" tIns="0" rIns="0" bIns="0">
                      <a:noAutofit/>
                    </wps:bodyPr>
                  </wps:wsp>
                </a:graphicData>
              </a:graphic>
            </wp:anchor>
          </w:drawing>
        </mc:Choice>
        <mc:Fallback>
          <w:pict>
            <v:rect style="position:absolute;rotation:-0;width:491.75pt;height:12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2"/>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exact" w:line="24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before="240" w:after="0"/>
      <w:ind w:hanging="720" w:start="720" w:end="0"/>
      <w:outlineLvl w:val="0"/>
    </w:pPr>
    <w:rPr>
      <w:rFonts w:ascii="Arial" w:hAnsi="Arial" w:eastAsia="Arial" w:cs="Arial"/>
      <w:b/>
      <w:bCs/>
      <w:caps/>
    </w:rPr>
  </w:style>
  <w:style w:type="paragraph" w:styleId="Heading2">
    <w:name w:val="heading 2"/>
    <w:basedOn w:val="Heading1"/>
    <w:next w:val="BodyText"/>
    <w:qFormat/>
    <w:pPr>
      <w:numPr>
        <w:ilvl w:val="1"/>
        <w:numId w:val="1"/>
      </w:numPr>
      <w:ind w:hanging="720" w:start="1440" w:end="1440"/>
      <w:outlineLvl w:val="1"/>
    </w:pPr>
    <w:rPr>
      <w:caps w:val="false"/>
      <w:smallCaps w:val="false"/>
    </w:rPr>
  </w:style>
  <w:style w:type="paragraph" w:styleId="Heading3">
    <w:name w:val="heading 3"/>
    <w:basedOn w:val="Heading2"/>
    <w:next w:val="BodyText"/>
    <w:qFormat/>
    <w:pPr>
      <w:numPr>
        <w:ilvl w:val="2"/>
        <w:numId w:val="1"/>
      </w:numPr>
      <w:ind w:hanging="720" w:start="2160" w:end="1440"/>
      <w:outlineLvl w:val="2"/>
    </w:pPr>
    <w:rPr/>
  </w:style>
  <w:style w:type="paragraph" w:styleId="Heading4">
    <w:name w:val="heading 4"/>
    <w:basedOn w:val="Heading3"/>
    <w:next w:val="BodyText"/>
    <w:qFormat/>
    <w:pPr>
      <w:numPr>
        <w:ilvl w:val="3"/>
        <w:numId w:val="1"/>
      </w:numPr>
      <w:ind w:hanging="720" w:start="2880" w:end="1440"/>
      <w:outlineLvl w:val="3"/>
    </w:pPr>
    <w:rPr/>
  </w:style>
  <w:style w:type="paragraph" w:styleId="Heading5">
    <w:name w:val="heading 5"/>
    <w:basedOn w:val="Heading4"/>
    <w:next w:val="BodyText"/>
    <w:qFormat/>
    <w:pPr>
      <w:numPr>
        <w:ilvl w:val="4"/>
        <w:numId w:val="1"/>
      </w:numPr>
      <w:ind w:hanging="720" w:start="3600" w:end="1440"/>
      <w:outlineLvl w:val="4"/>
    </w:pPr>
    <w:rPr/>
  </w:style>
  <w:style w:type="paragraph" w:styleId="Heading6">
    <w:name w:val="heading 6"/>
    <w:basedOn w:val="Heading5"/>
    <w:next w:val="BodyText"/>
    <w:qFormat/>
    <w:pPr>
      <w:numPr>
        <w:ilvl w:val="5"/>
        <w:numId w:val="1"/>
      </w:numPr>
      <w:ind w:hanging="720" w:start="4320" w:end="1440"/>
      <w:outlineLvl w:val="5"/>
    </w:pPr>
    <w:rPr>
      <w:b w:val="false"/>
      <w:bCs w:val="false"/>
    </w:rPr>
  </w:style>
  <w:style w:type="paragraph" w:styleId="Heading7">
    <w:name w:val="heading 7"/>
    <w:basedOn w:val="Heading6"/>
    <w:next w:val="BodyText"/>
    <w:qFormat/>
    <w:pPr>
      <w:numPr>
        <w:ilvl w:val="6"/>
        <w:numId w:val="1"/>
      </w:numPr>
      <w:ind w:hanging="720" w:start="5040" w:end="1440"/>
      <w:outlineLvl w:val="6"/>
    </w:pPr>
    <w:rPr/>
  </w:style>
  <w:style w:type="paragraph" w:styleId="Heading8">
    <w:name w:val="heading 8"/>
    <w:basedOn w:val="Heading7"/>
    <w:next w:val="BodyText"/>
    <w:qFormat/>
    <w:pPr>
      <w:numPr>
        <w:ilvl w:val="7"/>
        <w:numId w:val="1"/>
      </w:numPr>
      <w:ind w:hanging="720" w:start="5760" w:end="1440"/>
      <w:outlineLvl w:val="7"/>
    </w:pPr>
    <w:rPr/>
  </w:style>
  <w:style w:type="paragraph" w:styleId="Heading9">
    <w:name w:val="heading 9"/>
    <w:basedOn w:val="Heading8"/>
    <w:next w:val="BodyText"/>
    <w:qFormat/>
    <w:pPr>
      <w:numPr>
        <w:ilvl w:val="8"/>
        <w:numId w:val="1"/>
      </w:numPr>
      <w:tabs>
        <w:tab w:val="clear" w:pos="720"/>
        <w:tab w:val="left" w:pos="360" w:leader="none"/>
      </w:tabs>
      <w:ind w:hanging="720" w:start="6480" w:end="144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Arial" w:hAnsi="Arial" w:eastAsia="Arial" w:cs="Arial"/>
      <w:caps/>
      <w:sz w:val="20"/>
      <w:szCs w:val="20"/>
      <w:u w:val="single"/>
      <w:vertAlign w:val="superscript"/>
    </w:rPr>
  </w:style>
  <w:style w:type="character" w:styleId="PageNumber">
    <w:name w:val="page number"/>
    <w:basedOn w:val="DefaultParagraphFont"/>
    <w:rPr>
      <w:sz w:val="20"/>
      <w:szCs w:val="20"/>
    </w:rPr>
  </w:style>
  <w:style w:type="character" w:styleId="CommentReference">
    <w:name w:val="Comment Reference"/>
    <w:basedOn w:val="DefaultParagraphFont"/>
    <w:qFormat/>
    <w:rPr>
      <w:sz w:val="16"/>
      <w:szCs w:val="16"/>
    </w:rPr>
  </w:style>
  <w:style w:type="character" w:styleId="Hyperlink">
    <w:name w:val="Hyperlink"/>
    <w:basedOn w:val="DefaultParagraphFont"/>
    <w:qFormat/>
    <w:rPr>
      <w:color w:val="0000FF"/>
      <w:sz w:val="20"/>
      <w:szCs w:val="20"/>
      <w:u w:val="single"/>
    </w:rPr>
  </w:style>
  <w:style w:type="paragraph" w:styleId="Heading">
    <w:name w:val="Heading"/>
    <w:basedOn w:val="Normal"/>
    <w:next w:val="BodyText"/>
    <w:qFormat/>
    <w:pPr>
      <w:spacing w:before="240" w:after="240"/>
      <w:ind w:hanging="0" w:start="720" w:end="720"/>
      <w:jc w:val="center"/>
    </w:pPr>
    <w:rPr>
      <w:b/>
      <w:bCs/>
      <w:kern w:val="2"/>
    </w:rPr>
  </w:style>
  <w:style w:type="paragraph" w:styleId="BodyText">
    <w:name w:val="Body Text"/>
    <w:basedOn w:val="Normal"/>
    <w:pPr>
      <w:spacing w:lineRule="exact" w:line="48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next w:val="BodyText"/>
    <w:qFormat/>
    <w:pPr>
      <w:ind w:hanging="0" w:start="360" w:end="0"/>
    </w:pPr>
    <w:rPr/>
  </w:style>
  <w:style w:type="paragraph" w:styleId="Centered">
    <w:name w:val="Centered"/>
    <w:basedOn w:val="Normal"/>
    <w:next w:val="BodyText"/>
    <w:qFormat/>
    <w:pPr>
      <w:spacing w:before="0" w:after="24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821" w:leader="none"/>
      </w:tabs>
    </w:pPr>
    <w:rPr/>
  </w:style>
  <w:style w:type="paragraph" w:styleId="FootnoteText">
    <w:name w:val="footnote text"/>
    <w:basedOn w:val="Normal"/>
    <w:pPr>
      <w:tabs>
        <w:tab w:val="clear" w:pos="720"/>
        <w:tab w:val="left" w:pos="432" w:leader="none"/>
      </w:tabs>
      <w:spacing w:lineRule="auto" w:line="240" w:before="0" w:after="120"/>
      <w:ind w:hanging="432" w:start="432" w:end="0"/>
    </w:pPr>
    <w:rPr>
      <w:rFonts w:ascii="Arial" w:hAnsi="Arial" w:eastAsia="Arial" w:cs="Arial"/>
    </w:rPr>
  </w:style>
  <w:style w:type="paragraph" w:styleId="Header">
    <w:name w:val="header"/>
    <w:basedOn w:val="Normal"/>
    <w:pPr>
      <w:tabs>
        <w:tab w:val="clear" w:pos="720"/>
        <w:tab w:val="center" w:pos="4320" w:leader="none"/>
        <w:tab w:val="right" w:pos="9821"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EnvelopeAddress">
    <w:name w:val="envelope address"/>
    <w:basedOn w:val="Normal"/>
    <w:pPr>
      <w:spacing w:lineRule="auto" w:line="240"/>
      <w:ind w:hanging="0" w:start="2880" w:end="0"/>
    </w:pPr>
    <w:rPr/>
  </w:style>
  <w:style w:type="paragraph" w:styleId="MacroText">
    <w:name w:val="Macro Text"/>
    <w:qFormat/>
    <w:pPr>
      <w:widowControl w:val="false"/>
      <w:tabs>
        <w:tab w:val="clear" w:pos="720"/>
        <w:tab w:val="left" w:pos="475" w:leader="none"/>
        <w:tab w:val="left" w:pos="965" w:leader="none"/>
        <w:tab w:val="left" w:pos="1440" w:leader="none"/>
        <w:tab w:val="left" w:pos="1915" w:leader="none"/>
        <w:tab w:val="left" w:pos="2405" w:leader="none"/>
        <w:tab w:val="left" w:pos="2880" w:leader="none"/>
        <w:tab w:val="left" w:pos="3355" w:leader="none"/>
        <w:tab w:val="left" w:pos="3845" w:leader="none"/>
        <w:tab w:val="left" w:pos="4320" w:leader="none"/>
      </w:tabs>
      <w:bidi w:val="0"/>
    </w:pPr>
    <w:rPr>
      <w:rFonts w:ascii="Times New Roman" w:hAnsi="Times New Roman" w:eastAsia="Times New Roman" w:cs="Times New Roman"/>
      <w:color w:val="auto"/>
      <w:sz w:val="20"/>
      <w:szCs w:val="20"/>
      <w:lang w:val="en-US" w:eastAsia="zh-CN" w:bidi="hi-IN"/>
    </w:rPr>
  </w:style>
  <w:style w:type="paragraph" w:styleId="NormalIndent">
    <w:name w:val="Normal Indent"/>
    <w:basedOn w:val="Normal"/>
    <w:qFormat/>
    <w:pPr>
      <w:ind w:hanging="0" w:start="720" w:end="720"/>
    </w:pPr>
    <w:rPr/>
  </w:style>
  <w:style w:type="paragraph" w:styleId="TOC1">
    <w:name w:val="toc 1"/>
    <w:basedOn w:val="Normal"/>
    <w:pPr>
      <w:keepLines/>
      <w:tabs>
        <w:tab w:val="clear" w:pos="720"/>
        <w:tab w:val="right" w:pos="9835" w:leader="dot"/>
      </w:tabs>
      <w:spacing w:before="0" w:after="120"/>
      <w:ind w:hanging="806" w:start="806" w:end="1440"/>
    </w:pPr>
    <w:rPr>
      <w:caps/>
    </w:rPr>
  </w:style>
  <w:style w:type="paragraph" w:styleId="TOC2">
    <w:name w:val="toc 2"/>
    <w:basedOn w:val="Normal"/>
    <w:pPr>
      <w:tabs>
        <w:tab w:val="clear" w:pos="720"/>
        <w:tab w:val="right" w:pos="9835" w:leader="dot"/>
      </w:tabs>
      <w:spacing w:before="0" w:after="120"/>
      <w:ind w:hanging="634" w:start="1440" w:end="1440"/>
    </w:pPr>
    <w:rPr/>
  </w:style>
  <w:style w:type="paragraph" w:styleId="TOC3">
    <w:name w:val="toc 3"/>
    <w:basedOn w:val="Normal"/>
    <w:pPr>
      <w:keepLines/>
      <w:tabs>
        <w:tab w:val="clear" w:pos="720"/>
        <w:tab w:val="right" w:pos="9835" w:leader="dot"/>
      </w:tabs>
      <w:spacing w:before="0" w:after="120"/>
      <w:ind w:hanging="720" w:start="2160" w:end="1440"/>
    </w:pPr>
    <w:rPr/>
  </w:style>
  <w:style w:type="paragraph" w:styleId="TOC4">
    <w:name w:val="toc 4"/>
    <w:basedOn w:val="Normal"/>
    <w:pPr>
      <w:keepLines/>
      <w:tabs>
        <w:tab w:val="clear" w:pos="720"/>
        <w:tab w:val="right" w:pos="9835" w:leader="dot"/>
      </w:tabs>
      <w:spacing w:before="0" w:after="120"/>
      <w:ind w:hanging="720" w:start="2880" w:end="1440"/>
    </w:pPr>
    <w:rPr/>
  </w:style>
  <w:style w:type="paragraph" w:styleId="TOC5">
    <w:name w:val="toc 5"/>
    <w:basedOn w:val="Normal"/>
    <w:pPr>
      <w:keepLines/>
      <w:tabs>
        <w:tab w:val="clear" w:pos="720"/>
        <w:tab w:val="right" w:pos="9835" w:leader="dot"/>
      </w:tabs>
      <w:spacing w:before="0" w:after="120"/>
      <w:ind w:hanging="720" w:start="3600" w:end="1440"/>
    </w:pPr>
    <w:rPr/>
  </w:style>
  <w:style w:type="paragraph" w:styleId="TOC6">
    <w:name w:val="toc 6"/>
    <w:basedOn w:val="Normal"/>
    <w:pPr>
      <w:keepLines/>
      <w:tabs>
        <w:tab w:val="clear" w:pos="720"/>
        <w:tab w:val="right" w:pos="9835" w:leader="dot"/>
      </w:tabs>
      <w:spacing w:before="0" w:after="120"/>
      <w:ind w:hanging="720" w:start="4320" w:end="1440"/>
    </w:pPr>
    <w:rPr/>
  </w:style>
  <w:style w:type="paragraph" w:styleId="TOC7">
    <w:name w:val="toc 7"/>
    <w:basedOn w:val="Normal"/>
    <w:pPr>
      <w:keepLines/>
      <w:tabs>
        <w:tab w:val="clear" w:pos="720"/>
        <w:tab w:val="right" w:pos="9835" w:leader="dot"/>
      </w:tabs>
      <w:spacing w:before="0" w:after="120"/>
      <w:ind w:hanging="806" w:start="5126" w:end="1440"/>
    </w:pPr>
    <w:rPr/>
  </w:style>
  <w:style w:type="paragraph" w:styleId="TOC8">
    <w:name w:val="toc 8"/>
    <w:basedOn w:val="Normal"/>
    <w:pPr>
      <w:keepLines/>
      <w:tabs>
        <w:tab w:val="clear" w:pos="720"/>
        <w:tab w:val="right" w:pos="9835" w:leader="dot"/>
      </w:tabs>
      <w:spacing w:before="0" w:after="120"/>
      <w:ind w:hanging="634" w:start="5760" w:end="1440"/>
    </w:pPr>
    <w:rPr/>
  </w:style>
  <w:style w:type="paragraph" w:styleId="TOC9">
    <w:name w:val="toc 9"/>
    <w:basedOn w:val="Normal"/>
    <w:pPr>
      <w:keepLines/>
      <w:tabs>
        <w:tab w:val="clear" w:pos="720"/>
        <w:tab w:val="right" w:pos="9835" w:leader="dot"/>
      </w:tabs>
      <w:spacing w:before="0" w:after="120"/>
      <w:ind w:hanging="720" w:start="6480" w:end="1440"/>
    </w:pPr>
    <w:rPr/>
  </w:style>
  <w:style w:type="paragraph" w:styleId="PleadingSignature">
    <w:name w:val="Pleading Signature"/>
    <w:basedOn w:val="Normal"/>
    <w:qFormat/>
    <w:pPr>
      <w:keepNext w:val="true"/>
      <w:keepLines/>
      <w:tabs>
        <w:tab w:val="clear" w:pos="720"/>
        <w:tab w:val="left" w:pos="4867" w:leader="none"/>
        <w:tab w:val="right" w:pos="9000" w:leader="none"/>
      </w:tabs>
      <w:ind w:hanging="4867" w:start="4867" w:end="0"/>
    </w:pPr>
    <w:rPr/>
  </w:style>
  <w:style w:type="paragraph" w:styleId="TOAHeading">
    <w:name w:val="TOA Heading"/>
    <w:basedOn w:val="Normal"/>
    <w:next w:val="TableofAuthorities"/>
    <w:qFormat/>
    <w:pPr>
      <w:keepNext w:val="true"/>
      <w:spacing w:before="120" w:after="120"/>
    </w:pPr>
    <w:rPr>
      <w:b/>
      <w:bCs/>
      <w:caps/>
    </w:rPr>
  </w:style>
  <w:style w:type="paragraph" w:styleId="TableofAuthorities">
    <w:name w:val="Table of Authorities"/>
    <w:basedOn w:val="Normal"/>
    <w:next w:val="Normal"/>
    <w:qFormat/>
    <w:pPr>
      <w:tabs>
        <w:tab w:val="clear" w:pos="720"/>
        <w:tab w:val="right" w:pos="9274" w:leader="dot"/>
      </w:tabs>
      <w:spacing w:before="120" w:after="120"/>
      <w:ind w:hanging="446" w:start="446" w:end="720"/>
    </w:pPr>
    <w:rPr/>
  </w:style>
  <w:style w:type="paragraph" w:styleId="LetterClosing">
    <w:name w:val="LetterClosing"/>
    <w:basedOn w:val="Normal"/>
    <w:next w:val="Normal"/>
    <w:qFormat/>
    <w:pPr/>
    <w:rPr/>
  </w:style>
  <w:style w:type="paragraph" w:styleId="Quote">
    <w:name w:val="Quote"/>
    <w:basedOn w:val="Normal"/>
    <w:next w:val="Normal"/>
    <w:qFormat/>
    <w:pPr>
      <w:spacing w:before="240" w:after="0"/>
      <w:ind w:hanging="0" w:start="1440" w:end="1440"/>
    </w:pPr>
    <w:rPr/>
  </w:style>
  <w:style w:type="paragraph" w:styleId="SDP">
    <w:name w:val="SDP"/>
    <w:basedOn w:val="Normal"/>
    <w:qFormat/>
    <w:pPr>
      <w:spacing w:lineRule="auto" w:line="240"/>
      <w:jc w:val="center"/>
    </w:pPr>
    <w:rPr/>
  </w:style>
  <w:style w:type="paragraph" w:styleId="CommentText">
    <w:name w:val="Comment Text"/>
    <w:basedOn w:val="Normal"/>
    <w:qFormat/>
    <w:pPr/>
    <w:rPr>
      <w:sz w:val="20"/>
      <w:szCs w:val="20"/>
    </w:rPr>
  </w:style>
  <w:style w:type="paragraph" w:styleId="DocumentMap">
    <w:name w:val="Document Map"/>
    <w:basedOn w:val="Normal"/>
    <w:qFormat/>
    <w:pPr>
      <w:shd w:fill="000080" w:val="clear"/>
    </w:pPr>
    <w:rPr>
      <w:rFonts w:ascii="Tahoma" w:hAnsi="Tahoma" w:eastAsia="Tahoma" w:cs="Tahoma"/>
    </w:rPr>
  </w:style>
  <w:style w:type="paragraph" w:styleId="BodyText21">
    <w:name w:val="Body Text 21"/>
    <w:basedOn w:val="Normal"/>
    <w:qFormat/>
    <w:pPr>
      <w:jc w:val="center"/>
    </w:pPr>
    <w:rPr>
      <w:rFonts w:ascii="Arial" w:hAnsi="Arial" w:eastAsia="Arial" w:cs="Arial"/>
      <w:b/>
      <w:bCs/>
    </w:rPr>
  </w:style>
  <w:style w:type="paragraph" w:styleId="Body0">
    <w:name w:val="Body 0"/>
    <w:basedOn w:val="Normal"/>
    <w:qFormat/>
    <w:pPr>
      <w:spacing w:lineRule="exact" w:line="400"/>
      <w:ind w:firstLine="432" w:start="0" w:end="0"/>
    </w:pPr>
    <w:rPr>
      <w:rFonts w:ascii="Arial" w:hAnsi="Arial" w:eastAsia="Arial" w:cs="Arial"/>
      <w:color w:val="000000"/>
    </w:rPr>
  </w:style>
  <w:style w:type="paragraph" w:styleId="DoubleSpace">
    <w:name w:val="Double Space"/>
    <w:basedOn w:val="Normal"/>
    <w:qFormat/>
    <w:pPr>
      <w:spacing w:lineRule="auto" w:line="480"/>
    </w:pPr>
    <w:rPr>
      <w:sz w:val="26"/>
      <w:szCs w:val="26"/>
    </w:rPr>
  </w:style>
  <w:style w:type="paragraph" w:styleId="DoubleIndent">
    <w:name w:val="Double Indent"/>
    <w:basedOn w:val="Normal"/>
    <w:qFormat/>
    <w:pPr>
      <w:spacing w:lineRule="auto" w:line="240" w:before="0" w:after="240"/>
      <w:ind w:hanging="0" w:start="1440" w:end="1440"/>
    </w:pPr>
    <w:rPr>
      <w:sz w:val="26"/>
      <w:szCs w:val="26"/>
    </w:rPr>
  </w:style>
  <w:style w:type="paragraph" w:styleId="ListNumber">
    <w:name w:val="List Number"/>
    <w:basedOn w:val="Normal"/>
    <w:qFormat/>
    <w:pPr>
      <w:numPr>
        <w:ilvl w:val="0"/>
        <w:numId w:val="2"/>
      </w:numPr>
      <w:ind w:hanging="360" w:start="360" w:end="0"/>
    </w:pPr>
    <w:rPr/>
  </w:style>
  <w:style w:type="paragraph" w:styleId="listnumber2">
    <w:name w:val="list number 2"/>
    <w:basedOn w:val="ListNumber"/>
    <w:qFormat/>
    <w:pPr>
      <w:spacing w:lineRule="auto" w:line="240" w:before="0" w:after="240"/>
      <w:ind w:hanging="720" w:start="1440" w:end="0"/>
    </w:pPr>
    <w:rPr>
      <w:sz w:val="26"/>
      <w:szCs w:val="26"/>
    </w:rPr>
  </w:style>
  <w:style w:type="paragraph" w:styleId="QAquote">
    <w:name w:val="Q&amp;Aquote"/>
    <w:basedOn w:val="Normal"/>
    <w:qFormat/>
    <w:pPr>
      <w:spacing w:lineRule="auto" w:line="240"/>
      <w:ind w:hanging="0" w:start="720" w:end="720"/>
    </w:pPr>
    <w:rPr>
      <w:rFonts w:ascii="Arial" w:hAnsi="Arial" w:eastAsia="Arial" w:cs="Arial"/>
    </w:rPr>
  </w:style>
  <w:style w:type="paragraph" w:styleId="NumberedList1">
    <w:name w:val="Numbered List 1"/>
    <w:basedOn w:val="BodyText"/>
    <w:qFormat/>
    <w:pPr>
      <w:spacing w:lineRule="exact" w:line="400" w:before="0" w:after="120"/>
      <w:ind w:hanging="432" w:start="1296" w:end="0"/>
    </w:pPr>
    <w:rPr>
      <w:rFonts w:ascii="Arial" w:hAnsi="Arial" w:eastAsia="Arial" w:cs="Arial"/>
    </w:rPr>
  </w:style>
  <w:style w:type="paragraph" w:styleId="Quote-5inch">
    <w:name w:val="Quote - .5 inch"/>
    <w:basedOn w:val="Normal"/>
    <w:next w:val="Normal"/>
    <w:qFormat/>
    <w:pPr>
      <w:spacing w:lineRule="auto" w:line="240" w:before="240" w:after="0"/>
      <w:ind w:hanging="0" w:start="720" w:end="720"/>
    </w:pPr>
    <w:rPr>
      <w:rFonts w:ascii="Arial" w:hAnsi="Arial" w:eastAsia="Arial" w:cs="Arial"/>
    </w:rPr>
  </w:style>
  <w:style w:type="paragraph" w:styleId="Bullet2">
    <w:name w:val="Bullet 2"/>
    <w:basedOn w:val="Normal"/>
    <w:qFormat/>
    <w:pPr>
      <w:numPr>
        <w:ilvl w:val="0"/>
        <w:numId w:val="3"/>
      </w:numPr>
      <w:spacing w:lineRule="exact" w:line="400" w:before="0" w:after="120"/>
      <w:ind w:hanging="432" w:start="1296" w:end="0"/>
    </w:pPr>
    <w:rPr>
      <w:rFonts w:ascii="Arial" w:hAnsi="Arial" w:eastAsia="Arial" w:cs="Arial"/>
      <w:color w:val="000000"/>
    </w:rPr>
  </w:style>
  <w:style w:type="paragraph" w:styleId="TableCaption">
    <w:name w:val="Table Caption"/>
    <w:basedOn w:val="Normal"/>
    <w:qFormat/>
    <w:pPr>
      <w:keepNext w:val="true"/>
      <w:keepLines/>
      <w:spacing w:lineRule="atLeast" w:line="240" w:before="440" w:after="220"/>
      <w:jc w:val="center"/>
    </w:pPr>
    <w:rPr>
      <w:rFonts w:ascii="Arial" w:hAnsi="Arial" w:eastAsia="Arial" w:cs="Arial"/>
      <w:b/>
      <w:bCs/>
      <w:caps/>
      <w:sz w:val="20"/>
      <w:szCs w:val="20"/>
    </w:rPr>
  </w:style>
  <w:style w:type="paragraph" w:styleId="Table">
    <w:name w:val="Table"/>
    <w:basedOn w:val="Normal"/>
    <w:qFormat/>
    <w:pPr>
      <w:keepNext w:val="true"/>
      <w:keepLines/>
      <w:spacing w:lineRule="auto" w:line="240"/>
    </w:pPr>
    <w:rPr>
      <w:rFonts w:ascii="Arial" w:hAnsi="Arial" w:eastAsia="Arial" w:cs="Arial"/>
      <w:sz w:val="20"/>
      <w:szCs w:val="20"/>
    </w:rPr>
  </w:style>
  <w:style w:type="paragraph" w:styleId="Table-FirstRow">
    <w:name w:val="Table - First Row"/>
    <w:basedOn w:val="Table"/>
    <w:qFormat/>
    <w:pPr>
      <w:spacing w:before="120" w:after="0"/>
    </w:pPr>
    <w:rPr/>
  </w:style>
  <w:style w:type="paragraph" w:styleId="Body1">
    <w:name w:val="Body 1"/>
    <w:basedOn w:val="Normal"/>
    <w:qFormat/>
    <w:pPr>
      <w:spacing w:lineRule="exact" w:line="400"/>
      <w:ind w:firstLine="432" w:start="432" w:end="0"/>
    </w:pPr>
    <w:rPr>
      <w:rFonts w:ascii="Arial" w:hAnsi="Arial" w:eastAsia="Arial" w:cs="Arial"/>
      <w:color w:val="000000"/>
    </w:rPr>
  </w:style>
  <w:style w:type="paragraph" w:styleId="BodyText3">
    <w:name w:val="Body Text 3"/>
    <w:basedOn w:val="Normal"/>
    <w:qFormat/>
    <w:pPr>
      <w:jc w:val="center"/>
    </w:pPr>
    <w:rPr>
      <w:rFonts w:ascii="Arial" w:hAnsi="Arial" w:eastAsia="Arial" w:cs="Arial"/>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Pldcpuc.dot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2001-01-18T18:58:00Z</dcterms:created>
  <dc:creator>Randall Litteneker</dc:creator>
  <dc:description/>
  <dc:language>en-CA</dc:language>
  <cp:lastModifiedBy>Randall Litteneker</cp:lastModifiedBy>
  <cp:lastPrinted>2001-01-18T15:04:00Z</cp:lastPrinted>
  <dcterms:modified xsi:type="dcterms:W3CDTF">2001-01-18T20:33:00Z</dcterms:modified>
  <cp:revision>6</cp:revision>
  <dc:subject/>
  <dc:title>PG&amp;E CPUC Pleading Template, rev. 8/1/96, The Legal MacPac</dc:title>
</cp:coreProperties>
</file>