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80" w:after="0"/>
        <w:jc w:val="center"/>
        <w:rPr>
          <w:b/>
          <w:bCs/>
        </w:rPr>
      </w:pPr>
      <w:bookmarkStart w:id="0" w:name="PleadingCPUCModel"/>
      <w:r>
        <w:rPr>
          <w:b/>
          <w:bCs/>
        </w:rPr>
        <w:t>BEFORE THE PUBLIC UTILITIES COMMISSION</w:t>
        <w:br/>
        <w:t>OF THE STATE OF CALIFORNIA</w:t>
      </w:r>
    </w:p>
    <w:p>
      <w:pPr>
        <w:pStyle w:val="Normal"/>
        <w:widowControl/>
        <w:rPr>
          <w:b/>
          <w:bCs/>
        </w:rPr>
      </w:pPr>
      <w:r>
        <w:rPr>
          <w:b/>
          <w:bCs/>
        </w:rPr>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widowControl/>
              <w:tabs>
                <w:tab w:val="clear" w:pos="720"/>
                <w:tab w:val="left" w:pos="1440" w:leader="none"/>
              </w:tabs>
              <w:rPr/>
            </w:pPr>
            <w:r>
              <w:rPr/>
              <w:t xml:space="preserve">Emergency Application Of PACIFIC GAS AND ELECTRIC COMPANY For An Immediate Finding Of A Gas Supply Emergency and an Order Directing Southern California Gas Company To Provide Mutual Assistance </w:t>
            </w:r>
          </w:p>
          <w:p>
            <w:pPr>
              <w:pStyle w:val="Normal"/>
              <w:widowControl/>
              <w:tabs>
                <w:tab w:val="clear" w:pos="720"/>
                <w:tab w:val="left" w:pos="1440" w:leader="none"/>
              </w:tabs>
              <w:rPr/>
            </w:pPr>
            <w:r>
              <w:rPr/>
            </w:r>
          </w:p>
          <w:p>
            <w:pPr>
              <w:pStyle w:val="Normal"/>
              <w:widowControl/>
              <w:tabs>
                <w:tab w:val="clear" w:pos="720"/>
                <w:tab w:val="left" w:pos="1440" w:leader="none"/>
              </w:tabs>
              <w:jc w:val="end"/>
              <w:rPr/>
            </w:pPr>
            <w:r>
              <w:rPr/>
              <w:t>(U 39 G)</w:t>
            </w:r>
          </w:p>
        </w:tc>
        <w:tc>
          <w:tcPr>
            <w:tcW w:w="4968" w:type="dxa"/>
            <w:tcBorders/>
          </w:tcPr>
          <w:p>
            <w:pPr>
              <w:pStyle w:val="Normal"/>
              <w:widowControl/>
              <w:snapToGrid w:val="false"/>
              <w:ind w:start="252" w:end="0"/>
              <w:rPr/>
            </w:pPr>
            <w:r>
              <w:rPr/>
            </w:r>
          </w:p>
          <w:p>
            <w:pPr>
              <w:pStyle w:val="Normal"/>
              <w:widowControl/>
              <w:ind w:start="252" w:end="0"/>
              <w:rPr/>
            </w:pPr>
            <w:r>
              <w:rPr/>
            </w:r>
          </w:p>
          <w:p>
            <w:pPr>
              <w:pStyle w:val="Normal"/>
              <w:widowControl/>
              <w:ind w:start="252" w:end="0"/>
              <w:rPr/>
            </w:pPr>
            <w:r>
              <w:rPr/>
              <w:t xml:space="preserve">Application No. </w:t>
            </w:r>
          </w:p>
          <w:p>
            <w:pPr>
              <w:pStyle w:val="Normal"/>
              <w:widowControl/>
              <w:ind w:start="252" w:end="0"/>
              <w:jc w:val="center"/>
              <w:rPr/>
            </w:pPr>
            <w:r>
              <w:rPr/>
            </w:r>
          </w:p>
          <w:p>
            <w:pPr>
              <w:pStyle w:val="Normal"/>
              <w:widowControl/>
              <w:ind w:start="252" w:end="0"/>
              <w:rPr/>
            </w:pPr>
            <w:r>
              <w:rPr/>
            </w:r>
          </w:p>
        </w:tc>
      </w:tr>
    </w:tbl>
    <w:p>
      <w:pPr>
        <w:pStyle w:val="Normal"/>
        <w:widowControl/>
        <w:rPr/>
      </w:pPr>
      <w:r>
        <w:rPr/>
      </w:r>
    </w:p>
    <w:p>
      <w:pPr>
        <w:pStyle w:val="Normal"/>
        <w:widowControl/>
        <w:rPr/>
      </w:pPr>
      <w:r>
        <w:rPr/>
      </w:r>
    </w:p>
    <w:p>
      <w:pPr>
        <w:pStyle w:val="Normal"/>
        <w:widowControl/>
        <w:jc w:val="center"/>
        <w:rPr>
          <w:b/>
          <w:bCs/>
        </w:rPr>
      </w:pPr>
      <w:r>
        <w:rPr>
          <w:b/>
          <w:bCs/>
        </w:rPr>
      </w:r>
    </w:p>
    <w:p>
      <w:pPr>
        <w:pStyle w:val="Normal"/>
        <w:widowControl/>
        <w:jc w:val="center"/>
        <w:rPr>
          <w:b/>
          <w:bCs/>
        </w:rPr>
      </w:pPr>
      <w:r>
        <w:rPr>
          <w:b/>
          <w:bCs/>
        </w:rPr>
      </w:r>
    </w:p>
    <w:p>
      <w:pPr>
        <w:pStyle w:val="Heading"/>
        <w:rPr/>
      </w:pPr>
      <w:r>
        <w:rPr/>
        <w:t>EMERGENCY APPLICATION OF PACIFIC GAS AND ELECTRIC COMPANY FOR AN IMMEDIATE FINDING OF A GAS SUPPLY EMERGENCY AND AN ORDER DIRECTING SOUTHERN CALIFORNIA GAS COMPANY TO PROVIDE MUTUAL ASSISTANCE</w:t>
      </w:r>
    </w:p>
    <w:p>
      <w:pPr>
        <w:pStyle w:val="Normal"/>
        <w:widowControl/>
        <w:rPr/>
      </w:pPr>
      <w:r>
        <w:rPr/>
      </w:r>
    </w:p>
    <w:p>
      <w:pPr>
        <w:pStyle w:val="Normal"/>
        <w:widowControl/>
        <w:rPr/>
      </w:pPr>
      <w:r>
        <w:rPr/>
      </w:r>
    </w:p>
    <w:p>
      <w:pPr>
        <w:pStyle w:val="Normal"/>
        <w:widowControl/>
        <w:rPr/>
      </w:pPr>
      <w:r>
        <w:rPr/>
      </w:r>
    </w:p>
    <w:p>
      <w:pPr>
        <w:pStyle w:val="Normal"/>
        <w:widowControl/>
        <w:ind w:start="3600" w:end="0"/>
        <w:rPr/>
      </w:pPr>
      <w:r>
        <w:rPr/>
        <w:t>LINDA L. AGERTER</w:t>
        <w:br/>
        <w:t>MICHELLE L. WILSON</w:t>
      </w:r>
    </w:p>
    <w:p>
      <w:pPr>
        <w:pStyle w:val="Normal"/>
        <w:widowControl/>
        <w:ind w:start="3600" w:end="0"/>
        <w:rPr/>
      </w:pPr>
      <w:r>
        <w:rPr/>
        <w:t>RANDALL J. LITTENEKER</w:t>
      </w:r>
    </w:p>
    <w:p>
      <w:pPr>
        <w:pStyle w:val="Normal"/>
        <w:widowControl/>
        <w:ind w:start="3600" w:end="0"/>
        <w:rPr/>
      </w:pPr>
      <w:r>
        <w:rPr/>
        <w:t>SHIRLEY A. WOO</w:t>
      </w:r>
    </w:p>
    <w:p>
      <w:pPr>
        <w:pStyle w:val="Normal"/>
        <w:widowControl/>
        <w:ind w:start="3600" w:end="0"/>
        <w:rPr/>
      </w:pPr>
      <w:r>
        <w:rPr/>
      </w:r>
    </w:p>
    <w:p>
      <w:pPr>
        <w:pStyle w:val="Normal"/>
        <w:widowControl/>
        <w:ind w:start="3600" w:end="0"/>
        <w:rPr/>
      </w:pPr>
      <w:r>
        <w:rPr/>
        <w:t>Law Department</w:t>
      </w:r>
    </w:p>
    <w:p>
      <w:pPr>
        <w:pStyle w:val="Normal"/>
        <w:widowControl/>
        <w:ind w:start="3600" w:end="0"/>
        <w:rPr/>
      </w:pPr>
      <w:r>
        <w:rPr/>
        <w:t>Pacific Gas and Electric Company</w:t>
      </w:r>
    </w:p>
    <w:p>
      <w:pPr>
        <w:pStyle w:val="Normal"/>
        <w:widowControl/>
        <w:ind w:start="3600" w:end="0"/>
        <w:rPr/>
      </w:pPr>
      <w:r>
        <w:rPr/>
        <w:t>Post Office Box 7442</w:t>
      </w:r>
    </w:p>
    <w:p>
      <w:pPr>
        <w:pStyle w:val="Normal"/>
        <w:widowControl/>
        <w:ind w:start="3600" w:end="0"/>
        <w:rPr/>
      </w:pPr>
      <w:r>
        <w:rPr/>
        <w:t>77 Beale Street</w:t>
      </w:r>
    </w:p>
    <w:p>
      <w:pPr>
        <w:pStyle w:val="Normal"/>
        <w:widowControl/>
        <w:ind w:start="3600" w:end="0"/>
        <w:rPr/>
      </w:pPr>
      <w:r>
        <w:rPr/>
        <w:t>San Francisco, CA  94120</w:t>
      </w:r>
    </w:p>
    <w:p>
      <w:pPr>
        <w:pStyle w:val="Normal"/>
        <w:widowControl/>
        <w:ind w:start="3600" w:end="0"/>
        <w:rPr/>
      </w:pPr>
      <w:r>
        <w:rPr/>
        <w:t>Telephone: (415) 973-2179</w:t>
      </w:r>
    </w:p>
    <w:p>
      <w:pPr>
        <w:pStyle w:val="Normal"/>
        <w:widowControl/>
        <w:ind w:start="3600" w:end="0"/>
        <w:rPr/>
      </w:pPr>
      <w:r>
        <w:rPr/>
        <w:t>Facsimile:  (415) 973-5520</w:t>
      </w:r>
    </w:p>
    <w:p>
      <w:pPr>
        <w:pStyle w:val="Normal"/>
        <w:widowControl/>
        <w:ind w:start="3600" w:end="0"/>
        <w:rPr/>
      </w:pPr>
      <w:r>
        <w:rPr/>
        <w:t>Internet:  rjl9@pge.com</w:t>
      </w:r>
    </w:p>
    <w:p>
      <w:pPr>
        <w:pStyle w:val="Normal"/>
        <w:widowControl/>
        <w:ind w:start="3600" w:end="0"/>
        <w:rPr/>
      </w:pPr>
      <w:r>
        <w:rPr/>
      </w:r>
    </w:p>
    <w:p>
      <w:pPr>
        <w:pStyle w:val="Normal"/>
        <w:widowControl/>
        <w:ind w:start="3600" w:end="0"/>
        <w:rPr/>
      </w:pPr>
      <w:r>
        <w:rPr/>
        <w:t>Attorneys for</w:t>
      </w:r>
    </w:p>
    <w:p>
      <w:pPr>
        <w:pStyle w:val="Normal"/>
        <w:widowControl/>
        <w:ind w:start="3600" w:end="0"/>
        <w:rPr/>
      </w:pPr>
      <w:r>
        <w:rPr/>
        <w:t>PACIFIC GAS AND ELECTRIC COMPANY</w:t>
      </w:r>
    </w:p>
    <w:p>
      <w:pPr>
        <w:pStyle w:val="Normal"/>
        <w:widowControl/>
        <w:ind w:start="3240" w:end="0"/>
        <w:rPr/>
      </w:pPr>
      <w:r>
        <w:rPr/>
      </w:r>
    </w:p>
    <w:p>
      <w:pPr>
        <w:sectPr>
          <w:headerReference w:type="default" r:id="rId2"/>
          <w:headerReference w:type="first" r:id="rId3"/>
          <w:footerReference w:type="default" r:id="rId4"/>
          <w:footerReference w:type="first" r:id="rId5"/>
          <w:type w:val="nextPage"/>
          <w:pgSz w:w="12240" w:h="15840"/>
          <w:pgMar w:left="1800" w:right="1296" w:gutter="0" w:header="432" w:top="1440" w:footer="360" w:bottom="1152"/>
          <w:pgNumType w:start="1" w:fmt="decimal"/>
          <w:formProt w:val="false"/>
          <w:titlePg/>
          <w:textDirection w:val="lrTb"/>
        </w:sectPr>
        <w:pStyle w:val="Normal"/>
        <w:widowControl/>
        <w:rPr/>
      </w:pPr>
      <w:r>
        <w:rPr/>
        <w:t>January 18, 2001</w:t>
      </w:r>
    </w:p>
    <w:p>
      <w:pPr>
        <w:pStyle w:val="BodyText21"/>
        <w:widowControl/>
        <w:rPr>
          <w:rFonts w:ascii="Times New Roman" w:hAnsi="Times New Roman" w:eastAsia="Times New Roman" w:cs="Times New Roman"/>
        </w:rPr>
      </w:pPr>
      <w:r>
        <w:rPr>
          <w:rFonts w:eastAsia="Times New Roman" w:cs="Times New Roman" w:ascii="Times New Roman" w:hAnsi="Times New Roman"/>
        </w:rPr>
        <w:t>BEFORE THE PUBLIC UTILITIES COMMISSION</w:t>
        <w:br/>
        <w:t>OF THE STATE OF CALIFORNIA</w:t>
      </w:r>
    </w:p>
    <w:p>
      <w:pPr>
        <w:pStyle w:val="Normal"/>
        <w:widowControl/>
        <w:rPr>
          <w:rFonts w:ascii="Times New Roman" w:hAnsi="Times New Roman" w:eastAsia="Times New Roman" w:cs="Times New Roman"/>
        </w:rPr>
      </w:pPr>
      <w:r>
        <w:rPr>
          <w:rFonts w:eastAsia="Times New Roman" w:cs="Times New Roman"/>
        </w:rPr>
      </w:r>
    </w:p>
    <w:p>
      <w:pPr>
        <w:pStyle w:val="Normal"/>
        <w:widowContro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widowControl/>
              <w:tabs>
                <w:tab w:val="clear" w:pos="720"/>
                <w:tab w:val="left" w:pos="1440" w:leader="none"/>
              </w:tabs>
              <w:rPr/>
            </w:pPr>
            <w:r>
              <w:rPr/>
              <w:t xml:space="preserve">Emergency Application Of PACIFIC GAS AND ELECTRIC COMPANY For An Immediate Finding Of A Gas Supply State Of Emergency And An Order Directing Southern California Gas Company To Provide Mutual Assistance </w:t>
            </w:r>
          </w:p>
          <w:p>
            <w:pPr>
              <w:pStyle w:val="Normal"/>
              <w:widowControl/>
              <w:tabs>
                <w:tab w:val="clear" w:pos="720"/>
                <w:tab w:val="left" w:pos="1440" w:leader="none"/>
              </w:tabs>
              <w:rPr/>
            </w:pPr>
            <w:r>
              <w:rPr/>
            </w:r>
          </w:p>
          <w:p>
            <w:pPr>
              <w:pStyle w:val="Normal"/>
              <w:widowControl/>
              <w:tabs>
                <w:tab w:val="clear" w:pos="720"/>
                <w:tab w:val="left" w:pos="1440" w:leader="none"/>
              </w:tabs>
              <w:jc w:val="end"/>
              <w:rPr/>
            </w:pPr>
            <w:r>
              <w:rPr/>
              <w:t>(U 39 G)</w:t>
            </w:r>
          </w:p>
        </w:tc>
        <w:tc>
          <w:tcPr>
            <w:tcW w:w="4968" w:type="dxa"/>
            <w:tcBorders/>
          </w:tcPr>
          <w:p>
            <w:pPr>
              <w:pStyle w:val="Normal"/>
              <w:widowControl/>
              <w:snapToGrid w:val="false"/>
              <w:ind w:start="252" w:end="0"/>
              <w:rPr/>
            </w:pPr>
            <w:r>
              <w:rPr/>
            </w:r>
          </w:p>
          <w:p>
            <w:pPr>
              <w:pStyle w:val="Normal"/>
              <w:widowControl/>
              <w:ind w:start="252" w:end="0"/>
              <w:rPr/>
            </w:pPr>
            <w:r>
              <w:rPr/>
            </w:r>
          </w:p>
          <w:p>
            <w:pPr>
              <w:pStyle w:val="Normal"/>
              <w:widowControl/>
              <w:ind w:start="252" w:end="0"/>
              <w:rPr/>
            </w:pPr>
            <w:r>
              <w:rPr/>
              <w:t xml:space="preserve">Application No. </w:t>
            </w:r>
          </w:p>
          <w:p>
            <w:pPr>
              <w:pStyle w:val="Normal"/>
              <w:widowControl/>
              <w:ind w:start="252" w:end="0"/>
              <w:jc w:val="center"/>
              <w:rPr/>
            </w:pPr>
            <w:r>
              <w:rPr/>
            </w:r>
          </w:p>
          <w:p>
            <w:pPr>
              <w:pStyle w:val="Normal"/>
              <w:widowControl/>
              <w:ind w:start="252" w:end="0"/>
              <w:rPr/>
            </w:pPr>
            <w:r>
              <w:rPr/>
            </w:r>
          </w:p>
        </w:tc>
      </w:tr>
    </w:tbl>
    <w:p>
      <w:pPr>
        <w:pStyle w:val="Normal"/>
        <w:widowControl/>
        <w:jc w:val="center"/>
        <w:rPr>
          <w:b/>
          <w:bCs/>
        </w:rPr>
      </w:pPr>
      <w:r>
        <w:rPr>
          <w:b/>
          <w:bCs/>
        </w:rPr>
      </w:r>
    </w:p>
    <w:p>
      <w:pPr>
        <w:pStyle w:val="Heading"/>
        <w:rPr/>
      </w:pPr>
      <w:r>
        <w:rPr/>
        <w:t>EMERGENCY APPLICATION OF PACIFIC GAS AND ELECTRIC COMPANY FOR AN IMMEDIATE FINDING OF A GAS SUPPLY EMERGENCY AND AN ORDER DIRECTING SOUTHERN CALIFORNIA GAS COMPANY TO PROVIDE MUTUAL ASSISTANCE</w:t>
      </w:r>
    </w:p>
    <w:p>
      <w:pPr>
        <w:pStyle w:val="Heading1"/>
        <w:widowControl/>
        <w:rPr>
          <w:rFonts w:ascii="Times New Roman" w:hAnsi="Times New Roman" w:eastAsia="Times New Roman" w:cs="Times New Roman"/>
        </w:rPr>
      </w:pPr>
      <w:r>
        <w:rPr>
          <w:rFonts w:eastAsia="Times New Roman" w:cs="Times New Roman" w:ascii="Times New Roman" w:hAnsi="Times New Roman"/>
        </w:rPr>
        <w:t>I.</w:t>
        <w:tab/>
        <w:t>introduction</w:t>
      </w:r>
    </w:p>
    <w:p>
      <w:pPr>
        <w:pStyle w:val="BodyText"/>
        <w:rPr/>
      </w:pPr>
      <w:r>
        <w:rPr/>
        <w:t xml:space="preserve">Pursuant to Sections 451, 701 and 2774 of the Public Utilities Code, and Rules 15 and 81 of the Commission’s Rules of Practice and Procedure, Pacific Gas and Electric Company (PG&amp;E) hereby files this Emergency Application, seeking a Commission finding of an imminent gas supply emergency and an order directing Southern California Gas Company (SoCalGas) to supply PG&amp;E with core gas supplies necessary to provide gas to core gas customers in PG&amp;E’s service territory receiving default gas service.  As a result of gas suppliers refusing to sell gas to PG&amp;E, in the next days or weeks, PG&amp;E may no longer be able to meet the gas needs of its core customers.  The remedies available to PG&amp;E, such as diverting gas from noncore customers including electric generators would make the current electric crisis worse, and would only provide temporary relief.    </w:t>
      </w:r>
    </w:p>
    <w:p>
      <w:pPr>
        <w:pStyle w:val="BodyText"/>
        <w:rPr/>
      </w:pPr>
      <w:r>
        <w:rPr>
          <w:b/>
          <w:bCs/>
        </w:rPr>
        <w:t xml:space="preserve">Based on projected demands of its core customers, a drop in temperature from the average system composite temperate of as little as 6 degrees Fahrenheit over the next few days could cause PG&amp;E to have a shortfall in supply and force gas outages for customers, even if no additional supplies are lost.  Similarly, if additional suppliers terminate service, PG&amp;E's customers could lose service in the next few days even during a period of normal temperatures.  Moreover, at current gas storage withdrawal and supply volumes, absent a solution, PG&amp;E could be forced to make diversions of gas from noncore customers by no later than mid-February, even on days with average temperatures, and even if no additional suppliers terminate service.  The problem gets even worse as available storage capacity declines, and the time to act is now, not in February or beyond. </w:t>
      </w:r>
      <w:r>
        <w:rPr/>
        <w:t xml:space="preserve"> </w:t>
      </w:r>
    </w:p>
    <w:p>
      <w:pPr>
        <w:pStyle w:val="BodyText"/>
        <w:rPr/>
      </w:pPr>
      <w:r>
        <w:rPr/>
        <w:t xml:space="preserve">Accordingly, PG&amp;E urgently requests that the Commission use its authority to take steps immediately, and on an </w:t>
      </w:r>
      <w:r>
        <w:rPr>
          <w:i/>
          <w:iCs/>
        </w:rPr>
        <w:t>ex parte</w:t>
      </w:r>
      <w:r>
        <w:rPr/>
        <w:t xml:space="preserve"> basis, to address this gas crisis.  Due to the imminent, urgent gas supply and system emergency in its service area, PG&amp;E is seeking an order under Public Utilities Code section 2774, which authorizes the Commission to direct SoCalGas to provide aid to PG&amp;E’s customers during this emergency.  The Commission should direct SoCalGas to secure and provide the core gas supply necessary to protect service to PG&amp;E’s core gas customers, to the extent SoCalGas can do so without adversely impacting supply to its own customers.  The Commission has the power to address the gas crisis through this mechanism; and the Commission should use its power to avoid interruption of service to millions of gas and electric customers. </w:t>
      </w:r>
    </w:p>
    <w:p>
      <w:pPr>
        <w:pStyle w:val="Heading1"/>
        <w:rPr>
          <w:rFonts w:ascii="Times New Roman" w:hAnsi="Times New Roman" w:eastAsia="Times New Roman" w:cs="Times New Roman"/>
        </w:rPr>
      </w:pPr>
      <w:r>
        <w:rPr>
          <w:rFonts w:eastAsia="Times New Roman" w:cs="Times New Roman" w:ascii="Times New Roman" w:hAnsi="Times New Roman"/>
        </w:rPr>
        <w:t>II.</w:t>
        <w:tab/>
        <w:t>A Gas System Emergency now Exists.</w:t>
      </w:r>
    </w:p>
    <w:p>
      <w:pPr>
        <w:pStyle w:val="BodyText"/>
        <w:widowControl/>
        <w:ind w:end="295"/>
        <w:rPr/>
      </w:pPr>
      <w:r>
        <w:rPr/>
        <w:t>PG&amp;E is in the midst of a severe, unprecedented, and unresolved financial crisis due to excessive wholesale electricity prices, and an inability to recover the associated costs from its retail electric ratepayers.  This financial crisis has been the subject of extensive proceedings before this Commission in Application (A.) 00-11-038, A.00</w:t>
        <w:noBreakHyphen/>
        <w:t>11</w:t>
        <w:noBreakHyphen/>
        <w:t>056, and A.00</w:t>
        <w:noBreakHyphen/>
        <w:t>10</w:t>
        <w:noBreakHyphen/>
        <w:t>028.  The evidentiary record in the foregoing proceedings confirms the severity and magnitude of PG&amp;E’s financial crisis.  Since those hearings, PG&amp;E’s financial crisis has deepened due to the further escalation of wholesale power prices in December to even higher levels than previously seen.  The attached Declaration of Kent M. Harvey, Senior Vice President, Chief Financial Officer, and Treasurer of Pacific Gas and Electric Company, sets forth information on the current financial condition of PG&amp;E and the financial crisis giving rise to the gas emergency.</w:t>
      </w:r>
    </w:p>
    <w:p>
      <w:pPr>
        <w:pStyle w:val="BodyText"/>
        <w:widowControl/>
        <w:ind w:end="295"/>
        <w:rPr/>
      </w:pPr>
      <w:r>
        <w:rPr/>
        <w:t xml:space="preserve">As a direct consequence of this financial crisis, PG&amp;E now faces an imminent and potentially very grave gas supply emergency.  To make matters worse, this emergency is arising, and is likely to affect PG&amp;E’s gas customers, literally in the middle of the current winter heating season.  Immediate Commission action is urgently needed in order to help secure gas supply to PG&amp;E’s customers. Gas shortages could occur within days in PG&amp;E’s northern California service territory.  Without the decisive and prompt Commission action that PG&amp;E is seeking by this Emergency Application, the problems arising from this gas supply and gas system emergency, including inadequate residential gas heating supplies, collapse of portions of the gas system, and inadequate gas for electric power generation, could prove to be disastrous.  Accordingly, PG&amp;E respectfully requests that the Commission </w:t>
      </w:r>
      <w:r>
        <w:rPr>
          <w:i/>
          <w:iCs/>
        </w:rPr>
        <w:t>immediately</w:t>
      </w:r>
      <w:r>
        <w:rPr/>
        <w:t xml:space="preserve"> find a state of emergency on PG&amp;E’s gas system and order SoCalGas to provide PG&amp;E emergency assistance by purchasing gas supply for core gas customers in PG&amp;E’s service area to the extent it is able to do so without impairing service to its own core customers.</w:t>
      </w:r>
    </w:p>
    <w:p>
      <w:pPr>
        <w:pStyle w:val="Heading2"/>
        <w:rPr>
          <w:rFonts w:ascii="Times New Roman" w:hAnsi="Times New Roman" w:eastAsia="Times New Roman" w:cs="Times New Roman"/>
        </w:rPr>
      </w:pPr>
      <w:r>
        <w:rPr>
          <w:rFonts w:eastAsia="Times New Roman" w:cs="Times New Roman" w:ascii="Times New Roman" w:hAnsi="Times New Roman"/>
        </w:rPr>
        <w:t>A.</w:t>
        <w:tab/>
        <w:t>Gas Suppliers Are Refusing To Supply Enough Gas To PG&amp;E To Meet The Needs Of Its Core Customers.</w:t>
      </w:r>
    </w:p>
    <w:p>
      <w:pPr>
        <w:pStyle w:val="BodyText"/>
        <w:widowControl/>
        <w:ind w:end="295"/>
        <w:rPr/>
      </w:pPr>
      <w:r>
        <w:rPr/>
        <w:t>The nature and precise causes of the gas supply and system emergency PG&amp;E now faces are described in the attached Declarations of Kent M. Harvey, Senior Vice President, Treasurer, and Chief Financial Officer of Pacific Gas and Electric Company,  and Kirk Johnson, Director, Gas System Operations.  In brief summary, the wholesale suppliers from whom PG&amp;E’s Core Procurement Department purchases natural gas supplies on behalf of PG&amp;E’s core customers have been seeking assurances of PG&amp;E’s ability to meet its payment obligations under the terms of these wholesale purchase and sale arrangements.  Gas suppliers have stopped delivery or are threatening to stop deliveries of gas to PG&amp;E under January contracts if greater assurances of payment are not provided, and supply available for core will drop still further in February unless a solution is found.</w:t>
      </w:r>
      <w:r>
        <w:rPr>
          <w:rStyle w:val="FootnoteCharacters"/>
          <w:rStyle w:val="FootnoteReference"/>
        </w:rPr>
        <w:footnoteReference w:id="2"/>
      </w:r>
    </w:p>
    <w:p>
      <w:pPr>
        <w:pStyle w:val="BodyText"/>
        <w:widowControl/>
        <w:ind w:end="295"/>
        <w:rPr/>
      </w:pPr>
      <w:r>
        <w:rPr/>
        <w:t>Suppliers making up 71 per cent of PG&amp;E’s core gas supply have threatened to or actually terminated supply in January.  One large supplier has already ceased gas deliveries to PG&amp;E and others have threatened to follow.  J. Aron &amp; Company (a subsidiary of Goldman, Sachs), whose volumes account for approximately 14 percent of the flowing supply used to serve PG&amp;E’s core customers this month, already has terminated service as of January 9.  Another supplier, Western Gas Resources, suspended gas deliveries effective January 13.  Sempra Energy, which supplied approximately 12 per cent of PG&amp;E’s core gas supplies at the beginning of January, requested additional credit assurance, and on January 16, declared PG&amp;E in breach of the gas supply agreement.  Duke Energy (through two different affiliates) has requested additional credit assurances and has represented that Duke may suspend deliveries effective January 19.  In addition, Coastal Merchant Energy requested additional credit assurances by early next week.   The Duke and Coastal supplies together add up to approximately 11% of the flowing supplies used to serve core customers this month.  Other significant gas suppliers had demanded further assurances in December.  These suppliers may believe they are justified in terminating gas deliveries to PG&amp;E at any time.  They supply approximately 34 percent of PG&amp;E's January flowing supply for core customers.  Thus, approximately 71% of PG&amp;E's January flowing supply has either already terminated service or is at clear risk of termination.</w:t>
      </w:r>
    </w:p>
    <w:p>
      <w:pPr>
        <w:pStyle w:val="BodyText"/>
        <w:widowControl/>
        <w:ind w:end="295"/>
        <w:rPr/>
      </w:pPr>
      <w:r>
        <w:rPr/>
        <w:t>The possibility that these suppliers might terminate gas deliveries based on concern about PG&amp;E’s creditworthiness was increased by this week’s decisions of Standard and Poor’s and Moody’s to cut their rating of PG&amp;E’s debt to junk bond status.</w:t>
      </w:r>
    </w:p>
    <w:p>
      <w:pPr>
        <w:pStyle w:val="BodyText"/>
        <w:widowControl/>
        <w:ind w:end="295"/>
        <w:rPr/>
      </w:pPr>
      <w:r>
        <w:rPr/>
        <w:t>PG&amp;E is concerned that in the next week Sempra, Duke, Coastal, and possibly others may suspend deliveries.  In total, the volumes represented by the above-named companies would take PG&amp;E’s flowing core supply to a level which places the system and core service in serious jeopardy immediately.  Moreover, if other suppliers take action to withdraw their January contracted volumes, PG&amp;E’s system require diversions immediately.  See Johnson and Harvey declarations.</w:t>
      </w:r>
    </w:p>
    <w:p>
      <w:pPr>
        <w:pStyle w:val="BodyText"/>
        <w:widowControl/>
        <w:ind w:end="295"/>
        <w:rPr/>
      </w:pPr>
      <w:r>
        <w:rPr/>
        <w:t>Based on historic demands of its core customers, a drop in temperature by as little as 6 degrees Fahrenheit below the average system composite temperature for the month could cause PG&amp;E to have a shortfall in supply and force gas outages for customers, at any time, even if no further supplies are lost.  Moreover, if additional suppliers cease supply, PG&amp;E's customers could lose service in the next few days, even during a period of normal temperatures.  See Johnson declaration.</w:t>
      </w:r>
    </w:p>
    <w:p>
      <w:pPr>
        <w:pStyle w:val="BodyText"/>
        <w:widowControl/>
        <w:ind w:end="295"/>
        <w:rPr/>
      </w:pPr>
      <w:r>
        <w:rPr/>
        <w:t xml:space="preserve">Unless a solution is found by mid-February, the situation is likely to get even worse.  Some of PG&amp;E’s existing gas supply contracts for core customers either expire at the end of January or provide for lower volumes in February, and very little new supply is now available for purchase by PG&amp;E.  In addition, as PG&amp;E continues to draw down its storage, it's ability to withdraw gas from storage will continue to decline.  </w:t>
      </w:r>
      <w:r>
        <w:rPr>
          <w:b/>
          <w:bCs/>
        </w:rPr>
        <w:t>At expected withdrawal rates, absent a solution, PG&amp;E expects that it is likely that it will be forced to make diversions of gas from noncore customers by no later than mid-February, even during periods of normal temperatures, and even if no additional suppliers terminate service.</w:t>
      </w:r>
      <w:r>
        <w:rPr/>
        <w:t xml:space="preserve">  See Johnson declaration.</w:t>
      </w:r>
      <w:r>
        <w:rPr>
          <w:rFonts w:eastAsia="Arial" w:cs="Arial" w:ascii="Arial" w:hAnsi="Arial"/>
        </w:rPr>
        <w:t xml:space="preserve"> </w:t>
      </w:r>
    </w:p>
    <w:p>
      <w:pPr>
        <w:pStyle w:val="BodyText"/>
        <w:widowControl/>
        <w:ind w:end="295"/>
        <w:rPr/>
      </w:pPr>
      <w:r>
        <w:rPr/>
        <w:t xml:space="preserve">The producers’ actions and threats to stop supplying gas place service to core customers in imminent jeopardy.  More significantly, public officials with the ability to maintain supply should not wait until February, when storage reserves may be substantially depleted, to begin to act.  The time for action is </w:t>
      </w:r>
      <w:r>
        <w:rPr>
          <w:u w:val="single"/>
        </w:rPr>
        <w:t>now</w:t>
      </w:r>
      <w:r>
        <w:rPr/>
        <w:t>, before service to customers is interrupted.</w:t>
      </w:r>
    </w:p>
    <w:p>
      <w:pPr>
        <w:pStyle w:val="Heading2"/>
        <w:rPr/>
      </w:pPr>
      <w:r>
        <w:rPr/>
        <w:t xml:space="preserve">B.  </w:t>
        <w:tab/>
        <w:t>The Gas Supply Shortage Could Have Grave Consequences For Both Gas and Electric Customers.</w:t>
      </w:r>
    </w:p>
    <w:p>
      <w:pPr>
        <w:pStyle w:val="BodyText"/>
        <w:widowControl/>
        <w:ind w:end="295"/>
        <w:rPr/>
      </w:pPr>
      <w:r>
        <w:rPr/>
        <w:t>If gas suppliers and out-of-state pipeline companies do not flow adequate supplies of gas into PG&amp;E’s system, the gas pressures necessary to operate the gas system and maintain its integrity will be lost.  The potential loss of core gas supply from suppliers would be sufficient to impair the operation of the gas system and cause significant, long term curtailments of gas service.  PG&amp;E does not have sufficient gas from other sources, such as storage, available to make up for the gas volumes which core gas suppliers and gas pipelines would withdraw or not provide for the remainder of the winter.  As a result, the gas system, or portions thereof, would suffer operating pressure declines which would prevent delivery of gas to customers in the affected portions of the system.  Once that event occurs in one or more portions of the gas service area, gas service cannot resume until the affected systems, including the customers’ service facilities, have been checked, the system has been repressured and pilot lights can be re-ignited.  This process is extremely labor intensive and time consuming.  Consequently, if portions of the gas system are lost due to the gas supply emergency, many customers will suffer loss of gas service for weeks, at a minimum.  These facts are confirmed by Mr. Johnson’s attached declaration.</w:t>
      </w:r>
    </w:p>
    <w:p>
      <w:pPr>
        <w:pStyle w:val="BodyText"/>
        <w:widowControl/>
        <w:ind w:end="295"/>
        <w:rPr/>
      </w:pPr>
      <w:r>
        <w:rPr/>
        <w:t>In addition, a substantial amount of the electricity generated in PG&amp;E’s service territory is generated by plants that burn natural gas.  Approximately two-thirds of the divertible gas on PG&amp;E’s system currently is consumed by electric generators.  Diversions from electric generators will result in a decrease in the already limited supply of electricity causing widespread, sustained blackouts and soaring wholesale electricity prices.  Such diversions could ultimately translate into the loss of electric supply to millions of homes and businesses in Northern California.</w:t>
      </w:r>
    </w:p>
    <w:p>
      <w:pPr>
        <w:pStyle w:val="BodyText"/>
        <w:widowControl/>
        <w:ind w:end="295"/>
        <w:rPr/>
      </w:pPr>
      <w:r>
        <w:rPr/>
        <w:t xml:space="preserve">For residential customers who lose gas service, home furnaces, stoves and water heaters would shut down.  Customers, particularly the young and elderly, would face potential health impacts from the lack of heat, hot water, cooking facilities and other services for a significant period of time.  These hardships would be compounded by the electricity blackouts that are likely to happen concurrently.  </w:t>
      </w:r>
    </w:p>
    <w:p>
      <w:pPr>
        <w:pStyle w:val="BodyText"/>
        <w:widowControl/>
        <w:ind w:end="295"/>
        <w:rPr/>
      </w:pPr>
      <w:r>
        <w:rPr/>
        <w:t>Similarly, many noncore customers have no backup fuel capability, so diversion of gas from noncore customers would have catastrophic effects.  Hospitals, government agencies, and industrial users, would have reduced gas supply and would have to limit or cease operations.  See Johnson declaration.</w:t>
      </w:r>
    </w:p>
    <w:p>
      <w:pPr>
        <w:pStyle w:val="Heading2"/>
        <w:rPr/>
      </w:pPr>
      <w:r>
        <w:rPr/>
        <w:t>C.</w:t>
        <w:tab/>
        <w:t>PG&amp;E Has Pursued Multiple Alternatives Attempting To Deal With The Gas Crisis.</w:t>
      </w:r>
    </w:p>
    <w:p>
      <w:pPr>
        <w:pStyle w:val="BodyText"/>
        <w:widowControl/>
        <w:ind w:end="295"/>
        <w:rPr/>
      </w:pPr>
      <w:r>
        <w:rPr/>
        <w:t>Before filing this Application, PG&amp;E first pursued many other alternatives.  It discussed the issue at length with gas suppliers, including a meeting last week attended by PG&amp;E’s Chairman and its Chief Financial Officer.  As discussed in the declaration of Mr. Harvey, following that meeting, gas suppliers including Sempra have continued their threats to terminate gas supply. Although PG&amp;E ordinarily obtains full cost recovery for its cost of core gas under the Commission-approved tariffs, suppliers are concerned that PG&amp;E’s gas revenue stream is exposed to the credit problems and financial crisis created by the wholesale electricity crisis.  Thus, despite PG&amp;E’s ordinary ability to recover its gas supply and related pipeline costs, PG&amp;E does not have the ability to provide its gas suppliers and pipeline service providers the kind of accelerated payments or payment assurances these enterprises are demanding during the current financial crisis.</w:t>
      </w:r>
    </w:p>
    <w:p>
      <w:pPr>
        <w:pStyle w:val="BodyText"/>
        <w:widowControl/>
        <w:ind w:end="295"/>
        <w:rPr/>
      </w:pPr>
      <w:r>
        <w:rPr/>
        <w:t>In addition, last week, PG&amp;E sent a letter to Governor Gray Davis, asking for state assistance in procuring gas as an interim purchaser or otherwise providing credit.  The Governor agreed that there is a legitimate crisis.  He sent a letter to President Clinton asking him to invoke his powers under the Natural Gas Policy Act to compel gas suppliers to continue to supply gas to PG&amp;E.  The act requires state officials to certify to the federal government that a gas shortage exists.  The Governor’s letter to the President stated that “There is an imminent impact to public welfare based on the prospect of natural gas interruptions, including the exacerbating effect such interruptions would have on California’s electric grid.  This imminent gas shortage endangers the supply of natural gas both for PG&amp;E’s residential and business customers and also for service to electric generating plants in northern and central California.”  Press accounts issued on January 16 indicate that the Governor does not intend to grant PG&amp;E’s request for relief at this time, while waiting to hear whether federal relief will be granted.</w:t>
      </w:r>
    </w:p>
    <w:p>
      <w:pPr>
        <w:pStyle w:val="BodyText"/>
        <w:widowControl/>
        <w:ind w:end="295"/>
        <w:rPr/>
      </w:pPr>
      <w:r>
        <w:rPr/>
        <w:t>In addition, PG&amp;E has asked the federal government to exercise its powers to compel gas suppliers to continue to provide service, as requested by Governor Davis.  As of the time this pleading is being finalized, the federal government has not acted on this request, and it is not clear whether, when, or the extent to which it will act.  It is possible that the Governor will continue to look to the federal government for action, and the federal government look to the state government, while gas and electric supplies to millions of California customers are cut off.  PG&amp;E has no choice while this issue is pending but to also attempt to secure the gas supplies which this Commission may compel SoCalGas to supply.</w:t>
      </w:r>
    </w:p>
    <w:p>
      <w:pPr>
        <w:pStyle w:val="BodyText"/>
        <w:widowControl/>
        <w:ind w:end="295"/>
        <w:rPr/>
      </w:pPr>
      <w:r>
        <w:rPr/>
        <w:t>The self-help remedies available to PG&amp;E under its existing tariffs are not adequate to deal with the gas supply emergency facing PG&amp;E’s customers.  In particular, PG&amp;E Gas Rule 14 allows PG&amp;E to divert gas supplies from non</w:t>
        <w:noBreakHyphen/>
        <w:t>core customers to meet the needs of core customers in a gas supply emergency.  As Mr. Harvey explains in the attached Declaration, it is highly likely that many out-of-state gas suppliers who provide gas to the non</w:t>
        <w:noBreakHyphen/>
        <w:t>core market will simply stop selling to non</w:t>
        <w:noBreakHyphen/>
        <w:t>core end</w:t>
        <w:noBreakHyphen/>
        <w:t xml:space="preserve">users as soon as PG&amp;E attempts to divert gas under Rule 14, particularly as the volumes diverted increase, or certainly within a day or two after diversions first occur.  This could leave PG&amp;E without a ready supply to divert on behalf of core customers, in addition to the shortages that would result from core gas suppliers ceasing to provide gas under existing or new contracts.  </w:t>
      </w:r>
    </w:p>
    <w:p>
      <w:pPr>
        <w:pStyle w:val="BodyText"/>
        <w:widowControl/>
        <w:ind w:end="295"/>
        <w:rPr/>
      </w:pPr>
      <w:r>
        <w:rPr/>
        <w:t>Another consequence of depending on Gas Rule 14 in the current financial crisis is that gas-fired generators currently account for approximately two-thirds of the gas consumed by non</w:t>
        <w:noBreakHyphen/>
        <w:t>core customers in the PG&amp;E service territory.  If PG&amp;E were to implement the diversion provisions of Gas Rule 14, the result would be a reduction in gas deliveries to these electric generators.  This would have the perverse result of worsening the already-severe crisis PG&amp;E is facing in obtaining electricity supplies on behalf of its customers.</w:t>
      </w:r>
    </w:p>
    <w:p>
      <w:pPr>
        <w:pStyle w:val="BodyText"/>
        <w:widowControl/>
        <w:ind w:end="295"/>
        <w:rPr/>
      </w:pPr>
      <w:r>
        <w:rPr/>
        <w:t xml:space="preserve">PG&amp;E met with SoCalGas representatives on January 12, 2001, to discuss SoCalGas’ willingness to provide emergency assistance arrangements.  While SoCalGas expressed its willingness to explore providing assistance to PG&amp;E, SoCalGas expressed credit assurance concerns similar to those made by the gas suppliers.  To date, SoCalGas and PG&amp;E have not succeeded in reaching agreement on the provision of emergency assistance which SoCalGas would provide to supply PG&amp;E’s core customers in the PG&amp;E gas service area.  </w:t>
      </w:r>
    </w:p>
    <w:p>
      <w:pPr>
        <w:pStyle w:val="Heading2"/>
        <w:rPr>
          <w:rFonts w:ascii="Times New Roman" w:hAnsi="Times New Roman" w:eastAsia="Times New Roman" w:cs="Times New Roman"/>
        </w:rPr>
      </w:pPr>
      <w:r>
        <w:rPr>
          <w:rFonts w:eastAsia="Times New Roman" w:cs="Times New Roman" w:ascii="Times New Roman" w:hAnsi="Times New Roman"/>
        </w:rPr>
        <w:t>D.</w:t>
        <w:tab/>
        <w:t>The Commission Should Exercise Its Emergency Authority Under Public Utilities Code Section 2774 By Requiring SoCalGas To Provide Assistance During The Gas Crisis.</w:t>
      </w:r>
    </w:p>
    <w:p>
      <w:pPr>
        <w:pStyle w:val="BodyText"/>
        <w:widowControl/>
        <w:ind w:end="295"/>
        <w:rPr/>
      </w:pPr>
      <w:r>
        <w:rPr/>
        <w:t>Because of potential, imminent threatened shortages of natural gas resulting from PG&amp;E’s current financial crisis, PG&amp;E needs to secure the ability to obtain emergency assistance immediately from SoCalGas to protect PG&amp;E core gas customers and cannot wait for the outcome of protracted, uncertain negotiations.  Therefore, PG&amp;E requests that the Commission exercise its authority under Public Utilities Code Section 2774 to order SoCalGas to provide emergency assistance to protect core gas customers and the operating integrity of PG&amp;E’s gas system, once the Commission acknowledges an emergency due to core gas shortage on PG&amp;E’s system.  Section 2774 states:</w:t>
      </w:r>
    </w:p>
    <w:p>
      <w:pPr>
        <w:pStyle w:val="BodyText"/>
        <w:widowControl/>
        <w:spacing w:lineRule="exact" w:line="240"/>
        <w:ind w:hanging="0" w:start="720" w:end="1368"/>
        <w:rPr/>
      </w:pPr>
      <w:r>
        <w:rPr/>
      </w:r>
    </w:p>
    <w:p>
      <w:pPr>
        <w:pStyle w:val="BodyText"/>
        <w:widowControl/>
        <w:spacing w:lineRule="exact" w:line="240"/>
        <w:ind w:hanging="0" w:start="720" w:end="1368"/>
        <w:rPr/>
      </w:pPr>
      <w:r>
        <w:rPr/>
        <w:t xml:space="preserve">In the event any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the commission shall, to the extent practicable, order that service be temporarily reduced by an amount that reflects the priorities established pursuant to this chapter, for the duration of the shortage.  </w:t>
      </w:r>
      <w:r>
        <w:rPr>
          <w:u w:val="single"/>
        </w:rPr>
        <w:t>The commission may</w:t>
      </w:r>
      <w:r>
        <w:rPr/>
        <w:t xml:space="preserve">, to the extent permitted by federal law or regulation, </w:t>
      </w:r>
      <w:r>
        <w:rPr>
          <w:u w:val="single"/>
        </w:rPr>
        <w:t>require electrical or gas corporations to mutually assist each other in dealing with shortages resulting from inadequate fuel supplies, and shall determine the terms, including compensation, under which such assistance shall be provided.</w:t>
      </w:r>
      <w:r>
        <w:rPr/>
        <w:t xml:space="preserve">  (emphasis added).</w:t>
      </w:r>
    </w:p>
    <w:p>
      <w:pPr>
        <w:pStyle w:val="BodyText"/>
        <w:widowControl/>
        <w:ind w:end="295"/>
        <w:rPr/>
      </w:pPr>
      <w:r>
        <w:rPr/>
        <w:t>PG&amp;E currently faces dire core gas supply shortages as described  in Section 2774.  Pursuant to the last sentence of Section 2774,  PG&amp;E requests that the Commission order SoCalGas to provide assistance during the current gas supply emergency by providing gas supply to core customers in PG&amp;E’s service area that are not served by other core aggregators.  The details of this proposal follow.</w:t>
      </w:r>
    </w:p>
    <w:p>
      <w:pPr>
        <w:pStyle w:val="BodyText"/>
        <w:widowControl/>
        <w:ind w:end="295"/>
        <w:rPr/>
      </w:pPr>
      <w:r>
        <w:rPr>
          <w:u w:val="single"/>
        </w:rPr>
        <w:t>Scope of SoCalGas Obligation</w:t>
      </w:r>
      <w:r>
        <w:rPr/>
        <w:t>.  SoCalGas should be directed to purchase gas or supply available gas as needed to meet the load of PG&amp;E’s core procurement customers.  This would include both gas needed to avoid immediate diversions, and to avoid depletion of storage capacity.  PG&amp;E does not seek to impose any purchase obligation on SoCalGas that would adversely affect the reliability of supply to SoCalGas’ own customers. SoCalGas would be obliged to provide the emergency core gas volumes only to the extent SoCalGas’ ability to serve its own gas customers in its Southern California service area would not be adversely affected.  If the needs of its customers and PG&amp;E’s customers exceed the supply that SoCalGas is able to secure, then it would supply its  customers’ needs first, and then send additional supplies to PG&amp;E’s customers.  (Of course, if the Commission wanted to provide higher priority to core customers in PG&amp;E’s service area than noncore customers in SoCalGas’ service area, it could also make such a policy choice.)  PG&amp;E would do its best to limit the extent of SoCalGas’ obligations by continuing its efforts to obtain gas supplies, and by continuing to pursue its efforts with the President, the Governor, the gas suppliers, and any other approach that may provide a solution.</w:t>
      </w:r>
    </w:p>
    <w:p>
      <w:pPr>
        <w:pStyle w:val="BodyText"/>
        <w:widowControl/>
        <w:ind w:end="295"/>
        <w:rPr/>
      </w:pPr>
      <w:r>
        <w:rPr>
          <w:u w:val="single"/>
        </w:rPr>
        <w:t>Term of SoCalGas’ Obligation</w:t>
      </w:r>
      <w:r>
        <w:rPr/>
        <w:t xml:space="preserve">.  PG&amp;E’s intent is only to secure SoCalGas’ assistance during the term of the emergency, and only to the extent it is unable to find alternative solutions.  If the gas emergency were resolved adequately by action of the President or the Governor, or any other solution permitting PG&amp;E to purchase adequate supplies of gas for its core customers, then SoCalGas’ obligations could terminate.  PG&amp;E and SoCalGas should provide regular reports to the Commission on their success in finding gas supplies for Northern California, and on the results of their pursuit of alternative solutions.  </w:t>
      </w:r>
    </w:p>
    <w:p>
      <w:pPr>
        <w:pStyle w:val="BodyText"/>
        <w:widowControl/>
        <w:ind w:end="295"/>
        <w:rPr/>
      </w:pPr>
      <w:r>
        <w:rPr>
          <w:u w:val="single"/>
        </w:rPr>
        <w:t>Price To Be Paid For Gas Supplied By SoCalGas.</w:t>
      </w:r>
      <w:r>
        <w:rPr/>
        <w:t xml:space="preserve">  Section 2774 concludes that the Commission “shall determine the terms, including compensation, under which such assistance shall be provided.”  The price of the gas charged to the core customers served by SoCalGas in PG&amp;E’s service area during the emergency would include the cost of the gas acquired and delivered into the PG&amp;E gas system for that purpose. SoCalGas’ costs for supplying gas to core customers would include transportation costs incurred to deliver the gas to PG&amp;E, as well as the costs of storage gas withdrawn from SoCalGas storage for service to PG&amp;E’s core customers. SoCalGas would be entitled to recover these costs from the PG&amp;E and its core customers.  In addition to these costs, it is reasonable to provide some additional compensation to SoCalGas for providing this service.  One approach would be to pay SoCalGas an administrative fee of 2.4 cents per decatherm.  PG&amp;E’s Gas Accord contains a core brokerage fee of 2.4 cents per decatherm “as a proxy for certain costs directly related to PG&amp;E's Core Procurement Department functions and overheads.”  Decision Approving Comprehensive PG&amp;E Settlement in Gas Strategy Investigation, D.00-05-049, Attachment A, section 2.6.2.</w:t>
      </w:r>
    </w:p>
    <w:p>
      <w:pPr>
        <w:pStyle w:val="BodyText"/>
        <w:widowControl/>
        <w:ind w:end="295"/>
        <w:rPr/>
      </w:pPr>
      <w:r>
        <w:rPr>
          <w:u w:val="single"/>
        </w:rPr>
        <w:t>Payment Schedule</w:t>
      </w:r>
      <w:r>
        <w:rPr/>
        <w:t xml:space="preserve">.  PG&amp;E would pay SoCalGas on the monthly payment schedule which has been industry standard for some time. For deliveries in one month, PG&amp;E shall pay SoCalGas the rate described above by the 25th day of the subsequent month.    </w:t>
      </w:r>
    </w:p>
    <w:p>
      <w:pPr>
        <w:pStyle w:val="BodyText"/>
        <w:widowControl/>
        <w:ind w:end="295"/>
        <w:rPr/>
      </w:pPr>
      <w:r>
        <w:rPr>
          <w:u w:val="single"/>
        </w:rPr>
        <w:t>Special Credit Assurances To Be Provided To SoCalGas</w:t>
      </w:r>
      <w:r>
        <w:rPr/>
        <w:t>.  As explained in Mr. Harvey’s declaration, PG&amp;E has largely been unsuccessful in its discussions with the gas suppliers, which have sought credit terms and accelerated payments for gas deliveries.  Unfortunately, such payments would have a detrimental effect on PG&amp;E’s ability to pay its ongoing costs.  Accelerated payments could potentially lose almost two months of working capital, thereby further jeopardizing PG&amp;E’s financial condition.  See Harvey declaration, which contains an attachment providing further details on PG&amp;E’s financial difficulties.  SoCalGas has offered to explore whether there are security or credit assurance vehicles available to its purchases of gas in a regulated content that are not available in a commercial context, and both PG&amp;E and SoCalGas should be directed to continue to explore whether such terms are available.  However, in the meantime, PG&amp;E has not been able to locate an alternative, and SoCalGas’ credit is far better than PG&amp;E’s.  Ordinarily, PG&amp;E would not even think of making an application of this kind.  However, critical at this time of crisis to try to maintain service to vast numbers of customers.  Accordingly, and in recognition of the emergency now facing California, in the near term, PG&amp;E should not be required to provide any special security or credit assurance to SoCalGas connected with this service. The parties should explore whether credit issues may be addressed in the longer term, and should report back within three weeks, if not earlier, concerning their efforts to locate and negotiate available credit enhancement alternatives.  However, those discussions should not prevent the Commission from granting the immediate relief sought here which is necessary to avoid interruption of both gas and electric service.</w:t>
      </w:r>
    </w:p>
    <w:p>
      <w:pPr>
        <w:pStyle w:val="BodyText"/>
        <w:widowControl/>
        <w:ind w:end="295"/>
        <w:rPr/>
      </w:pPr>
      <w:r>
        <w:rPr>
          <w:u w:val="single"/>
        </w:rPr>
        <w:t>Shareholder Risk To SoCalGas In Providing This Service</w:t>
      </w:r>
      <w:r>
        <w:rPr/>
        <w:t>.  Since SoCalGas would be providing this service at the Commission’s directions in order to avoid a state emergency, it should not incur shareholder risk in providing this service.  Accordingly, SoCalGas should be exempt from reasonableness reviews related to these purchases.</w:t>
      </w:r>
    </w:p>
    <w:p>
      <w:pPr>
        <w:pStyle w:val="BodyText"/>
        <w:widowControl/>
        <w:ind w:end="295"/>
        <w:rPr/>
      </w:pPr>
      <w:r>
        <w:rPr>
          <w:u w:val="single"/>
        </w:rPr>
        <w:t>Any Other Changes Concerning SoCalGas Necessary To Accomplish These Purchases</w:t>
      </w:r>
      <w:r>
        <w:rPr/>
        <w:t>.  Any obstacles to this solution that are within the control of the Commission or SoCalGas should be addressed.  For example, if SoCalGas has limits on its borrowing capacity which might interfere with its ability to make such purchases, SoCalGas should be required to identify any such restrictions immediately, so that the Commission may address them.</w:t>
      </w:r>
    </w:p>
    <w:p>
      <w:pPr>
        <w:pStyle w:val="BodyText"/>
        <w:widowControl/>
        <w:ind w:end="295"/>
        <w:rPr/>
      </w:pPr>
      <w:r>
        <w:rPr>
          <w:u w:val="single"/>
        </w:rPr>
        <w:t>PG&amp;E Authorized To Implement Terms Necessary To Accomplish These Purchases.</w:t>
      </w:r>
      <w:r>
        <w:rPr/>
        <w:t xml:space="preserve">  Pursuant to this Application, SoCalGas would purchase gas as necessary to provide service to core customers currently receiving procurement service from PG&amp;E.  To accomplish this goal, it may be necessary from time to time to assign portions of the pipeline capacity which PG&amp;E Gas Procurement currently holds for core customers to SoCalGas during some or all of the time this emergency continues.  </w:t>
      </w:r>
    </w:p>
    <w:p>
      <w:pPr>
        <w:pStyle w:val="Heading1"/>
        <w:rPr>
          <w:rFonts w:ascii="Times New Roman" w:hAnsi="Times New Roman" w:eastAsia="Times New Roman" w:cs="Times New Roman"/>
        </w:rPr>
      </w:pPr>
      <w:r>
        <w:rPr>
          <w:rFonts w:eastAsia="Times New Roman" w:cs="Times New Roman" w:ascii="Times New Roman" w:hAnsi="Times New Roman"/>
        </w:rPr>
        <w:t>III.</w:t>
        <w:tab/>
        <w:t>RELIEF REQUESTED.</w:t>
      </w:r>
    </w:p>
    <w:p>
      <w:pPr>
        <w:pStyle w:val="BodyText"/>
        <w:widowControl/>
        <w:ind w:end="295"/>
        <w:rPr/>
      </w:pPr>
      <w:r>
        <w:rPr/>
        <w:t xml:space="preserve">For the reasons set forth above, by this Emergency Application, PG&amp;E is requesting that the Commission immediately issue an order, on an </w:t>
      </w:r>
      <w:r>
        <w:rPr>
          <w:i/>
          <w:iCs/>
        </w:rPr>
        <w:t>ex parte</w:t>
      </w:r>
      <w:r>
        <w:rPr/>
        <w:t xml:space="preserve"> basis, providing as follows:</w:t>
      </w:r>
    </w:p>
    <w:p>
      <w:pPr>
        <w:pStyle w:val="BodyText"/>
        <w:widowControl/>
        <w:numPr>
          <w:ilvl w:val="0"/>
          <w:numId w:val="4"/>
        </w:numPr>
        <w:tabs>
          <w:tab w:val="clear" w:pos="720"/>
          <w:tab w:val="left" w:pos="0" w:leader="none"/>
        </w:tabs>
        <w:ind w:hanging="720" w:start="1440" w:end="295"/>
        <w:rPr/>
      </w:pPr>
      <w:r>
        <w:rPr/>
        <w:t xml:space="preserve">The Commission should find that PG&amp;E faces an imminent gas supply emergency, which threatens service to PG&amp;E’s core and noncore gas customers and electric customers and constitutes an emergency under Section 2774.     </w:t>
      </w:r>
    </w:p>
    <w:p>
      <w:pPr>
        <w:pStyle w:val="BodyText"/>
        <w:widowControl/>
        <w:numPr>
          <w:ilvl w:val="0"/>
          <w:numId w:val="4"/>
        </w:numPr>
        <w:tabs>
          <w:tab w:val="clear" w:pos="720"/>
          <w:tab w:val="left" w:pos="0" w:leader="none"/>
        </w:tabs>
        <w:ind w:hanging="720" w:start="1440" w:end="295"/>
        <w:rPr/>
      </w:pPr>
      <w:r>
        <w:rPr/>
        <w:t>Pursuant to Section 2774, the Commission should order SoCalGas to provide emergency assistance by supplying gas to core customers on PG&amp;E’s system under the terms contained in this Application, to the extent SoCalGas can provide such service without endangering service to SoCalGas’ core</w:t>
      </w:r>
      <w:r>
        <w:rPr>
          <w:i/>
          <w:iCs/>
        </w:rPr>
        <w:t xml:space="preserve"> </w:t>
      </w:r>
      <w:r>
        <w:rPr/>
        <w:t>gas customers in its Southern California service area.</w:t>
      </w:r>
    </w:p>
    <w:p>
      <w:pPr>
        <w:pStyle w:val="BodyText"/>
        <w:widowControl/>
        <w:numPr>
          <w:ilvl w:val="0"/>
          <w:numId w:val="4"/>
        </w:numPr>
        <w:tabs>
          <w:tab w:val="clear" w:pos="720"/>
          <w:tab w:val="left" w:pos="0" w:leader="none"/>
        </w:tabs>
        <w:ind w:hanging="720" w:start="1440" w:end="295"/>
        <w:rPr/>
      </w:pPr>
      <w:r>
        <w:rPr/>
        <w:t xml:space="preserve">The Commission should authorize SoCalGas and PG&amp;E to file the gas ratemaking mechanisms necessary to implement the emergency assistance requested in this Application.  </w:t>
      </w:r>
    </w:p>
    <w:p>
      <w:pPr>
        <w:pStyle w:val="BodyText"/>
        <w:widowControl/>
        <w:numPr>
          <w:ilvl w:val="0"/>
          <w:numId w:val="4"/>
        </w:numPr>
        <w:tabs>
          <w:tab w:val="clear" w:pos="720"/>
          <w:tab w:val="left" w:pos="0" w:leader="none"/>
        </w:tabs>
        <w:ind w:hanging="720" w:start="1440" w:end="295"/>
        <w:rPr/>
      </w:pPr>
      <w:r>
        <w:rPr/>
        <w:t>The price to be paid to SoCalGas for gas it supplies for core customers on PG&amp;E’s system will consist of (a) actual gas purchase costs, including any gas transportation service secured from others necessary to bring that supply to the customers, plus (b) the cost of SoCalGas taken from storage and provided to PG&amp;E, plus (c) an administrative fee of 2.4 cents per decatherm, or such other fee as the Commission shall specify.</w:t>
      </w:r>
    </w:p>
    <w:p>
      <w:pPr>
        <w:pStyle w:val="BodyText"/>
        <w:widowControl/>
        <w:numPr>
          <w:ilvl w:val="0"/>
          <w:numId w:val="4"/>
        </w:numPr>
        <w:tabs>
          <w:tab w:val="clear" w:pos="720"/>
          <w:tab w:val="left" w:pos="0" w:leader="none"/>
        </w:tabs>
        <w:ind w:hanging="720" w:start="1440" w:end="295"/>
        <w:rPr/>
      </w:pPr>
      <w:r>
        <w:rPr/>
        <w:t xml:space="preserve">PG&amp;E shall pay SoCalGas on a monthly payment schedule.  For deliveries in one month, PG&amp;E shall pay SoCalGas the rate described above by the 25th day of the subsequent month.  </w:t>
      </w:r>
    </w:p>
    <w:p>
      <w:pPr>
        <w:pStyle w:val="BodyText"/>
        <w:widowControl/>
        <w:numPr>
          <w:ilvl w:val="0"/>
          <w:numId w:val="4"/>
        </w:numPr>
        <w:tabs>
          <w:tab w:val="clear" w:pos="720"/>
          <w:tab w:val="left" w:pos="0" w:leader="none"/>
        </w:tabs>
        <w:ind w:hanging="720" w:start="1440" w:end="295"/>
        <w:rPr/>
      </w:pPr>
      <w:r>
        <w:rPr/>
        <w:t>PG&amp;E shall not provide any special credit assurances to SoCalGas for this service.</w:t>
      </w:r>
    </w:p>
    <w:p>
      <w:pPr>
        <w:pStyle w:val="BodyText"/>
        <w:widowControl/>
        <w:numPr>
          <w:ilvl w:val="0"/>
          <w:numId w:val="4"/>
        </w:numPr>
        <w:tabs>
          <w:tab w:val="clear" w:pos="720"/>
          <w:tab w:val="left" w:pos="0" w:leader="none"/>
        </w:tabs>
        <w:ind w:hanging="720" w:start="1440" w:end="295"/>
        <w:rPr/>
      </w:pPr>
      <w:r>
        <w:rPr/>
        <w:t>SoCalGas shareholders shall not bear risk for providing this service.</w:t>
      </w:r>
    </w:p>
    <w:p>
      <w:pPr>
        <w:pStyle w:val="BodyText"/>
        <w:widowControl/>
        <w:numPr>
          <w:ilvl w:val="0"/>
          <w:numId w:val="4"/>
        </w:numPr>
        <w:tabs>
          <w:tab w:val="clear" w:pos="720"/>
          <w:tab w:val="left" w:pos="0" w:leader="none"/>
        </w:tabs>
        <w:ind w:hanging="720" w:start="1440" w:end="295"/>
        <w:rPr/>
      </w:pPr>
      <w:r>
        <w:rPr/>
        <w:t xml:space="preserve">SoCalGas should be directed to immediately identify any obstacles of which it is aware to providing this service for PG&amp;E’s customers in the quantities discussed in the Application, and directed to take steps to address these obstacles to the extent possible. </w:t>
      </w:r>
    </w:p>
    <w:p>
      <w:pPr>
        <w:pStyle w:val="BodyText"/>
        <w:widowControl/>
        <w:numPr>
          <w:ilvl w:val="0"/>
          <w:numId w:val="4"/>
        </w:numPr>
        <w:tabs>
          <w:tab w:val="clear" w:pos="720"/>
          <w:tab w:val="left" w:pos="0" w:leader="none"/>
        </w:tabs>
        <w:ind w:hanging="720" w:start="1440" w:end="295"/>
        <w:rPr/>
      </w:pPr>
      <w:r>
        <w:rPr/>
        <w:t>PG&amp;E should be authorized during the emergency to implement any necessary steps to allow SoCalGas to accomplish these purchases, including temporary assignment to SoCalGas of any portion of the pipeline capacity which PG&amp;E’s Gas Procurement Department currently holds for core customers.</w:t>
      </w:r>
    </w:p>
    <w:p>
      <w:pPr>
        <w:pStyle w:val="BodyText"/>
        <w:widowControl/>
        <w:numPr>
          <w:ilvl w:val="0"/>
          <w:numId w:val="4"/>
        </w:numPr>
        <w:tabs>
          <w:tab w:val="clear" w:pos="720"/>
          <w:tab w:val="left" w:pos="0" w:leader="none"/>
        </w:tabs>
        <w:ind w:hanging="360" w:start="1440" w:end="295"/>
        <w:rPr/>
      </w:pPr>
      <w:r>
        <w:rPr/>
        <w:t>That the Commission grant such further relief as set forth in the additional detailed discussion in body of this Application above.</w:t>
      </w:r>
    </w:p>
    <w:p>
      <w:pPr>
        <w:pStyle w:val="Heading1"/>
        <w:rPr>
          <w:rFonts w:ascii="Times New Roman" w:hAnsi="Times New Roman" w:eastAsia="Times New Roman" w:cs="Times New Roman"/>
        </w:rPr>
      </w:pPr>
      <w:r>
        <w:rPr>
          <w:rFonts w:eastAsia="Times New Roman" w:cs="Times New Roman" w:ascii="Times New Roman" w:hAnsi="Times New Roman"/>
        </w:rPr>
        <w:t>IV.</w:t>
        <w:tab/>
        <w:t>OTHER INFORMATION REQUIRED BY THE COMMISSION</w:t>
      </w:r>
    </w:p>
    <w:p>
      <w:pPr>
        <w:pStyle w:val="Heading2"/>
        <w:rPr>
          <w:rFonts w:ascii="Times New Roman" w:hAnsi="Times New Roman" w:eastAsia="Times New Roman" w:cs="Times New Roman"/>
        </w:rPr>
      </w:pPr>
      <w:r>
        <w:rPr>
          <w:rFonts w:eastAsia="Times New Roman" w:cs="Times New Roman" w:ascii="Times New Roman" w:hAnsi="Times New Roman"/>
        </w:rPr>
        <w:t>A.</w:t>
        <w:tab/>
        <w:t xml:space="preserve">Authority </w:t>
      </w:r>
    </w:p>
    <w:p>
      <w:pPr>
        <w:pStyle w:val="BodyText"/>
        <w:ind w:end="295"/>
        <w:rPr/>
      </w:pPr>
      <w:r>
        <w:rPr/>
        <w:t>This Application is made pursuant Sections 450, 701 and 2774 of the Public Utilities Code, and Rules 15 and 81 of the Commission’s Rules of Practice and Procedure, and prior decisions, orders, and resolutions of this Commission.</w:t>
      </w:r>
    </w:p>
    <w:p>
      <w:pPr>
        <w:pStyle w:val="Heading2"/>
        <w:rPr>
          <w:rFonts w:ascii="Times New Roman" w:hAnsi="Times New Roman" w:eastAsia="Times New Roman" w:cs="Times New Roman"/>
        </w:rPr>
      </w:pPr>
      <w:r>
        <w:rPr>
          <w:rFonts w:eastAsia="Times New Roman" w:cs="Times New Roman" w:ascii="Times New Roman" w:hAnsi="Times New Roman"/>
        </w:rPr>
        <w:t>B.</w:t>
        <w:tab/>
        <w:t>Legal Name And Principal Place of Business - Rule 15(a)</w:t>
      </w:r>
    </w:p>
    <w:p>
      <w:pPr>
        <w:pStyle w:val="BodyText"/>
        <w:ind w:end="295"/>
        <w:rPr/>
      </w:pPr>
      <w:r>
        <w:rPr/>
        <w:t>The legal name of the Applicant is Pacific Gas and Electric Company.  The location of Applicant’s principal place of business is San Francisco, California.  Its post office address is Post Office Box 7442, San Francisco, California  94120.</w:t>
      </w:r>
    </w:p>
    <w:p>
      <w:pPr>
        <w:pStyle w:val="Heading2"/>
        <w:rPr>
          <w:rFonts w:ascii="Times New Roman" w:hAnsi="Times New Roman" w:eastAsia="Times New Roman" w:cs="Times New Roman"/>
        </w:rPr>
      </w:pPr>
      <w:r>
        <w:rPr>
          <w:rFonts w:eastAsia="Times New Roman" w:cs="Times New Roman" w:ascii="Times New Roman" w:hAnsi="Times New Roman"/>
        </w:rPr>
        <w:t>C.</w:t>
        <w:tab/>
        <w:t>Articles of Incorporation - Rule 16</w:t>
      </w:r>
    </w:p>
    <w:p>
      <w:pPr>
        <w:pStyle w:val="BodyText"/>
        <w:ind w:end="295"/>
        <w:rPr/>
      </w:pPr>
      <w:r>
        <w:rPr/>
        <w:t>The Company is, and since October 10, 1905, has been, an operating public utility corporation organized under California law.  It is engaged principally in the business of furnishing electric and gas services in California.  A certified copy of the Company’s Restated Articles of Incorporation, dated May 6, 1998, was filed with the Commission on June 1, 1998, with the Company’s application A.98-06-001.  These articles are incorporated herein by reference pursuant to Rule 16 of the Commission’s Rules.</w:t>
      </w:r>
    </w:p>
    <w:p>
      <w:pPr>
        <w:pStyle w:val="Heading2"/>
        <w:rPr>
          <w:rFonts w:ascii="Times New Roman" w:hAnsi="Times New Roman" w:eastAsia="Times New Roman" w:cs="Times New Roman"/>
        </w:rPr>
      </w:pPr>
      <w:r>
        <w:rPr>
          <w:rFonts w:eastAsia="Times New Roman" w:cs="Times New Roman" w:ascii="Times New Roman" w:hAnsi="Times New Roman"/>
        </w:rPr>
        <w:t>D.</w:t>
        <w:tab/>
        <w:t>Correspondence and Communication Regarding This Application - Rule 15(b)</w:t>
      </w:r>
    </w:p>
    <w:p>
      <w:pPr>
        <w:pStyle w:val="BodyText"/>
        <w:ind w:end="295"/>
        <w:rPr/>
      </w:pPr>
      <w:r>
        <w:rPr/>
        <w:t>The Company’s attorneys in this matter are:</w:t>
      </w:r>
    </w:p>
    <w:p>
      <w:pPr>
        <w:pStyle w:val="BodyText"/>
        <w:spacing w:lineRule="exact" w:line="240"/>
        <w:rPr/>
      </w:pPr>
      <w:r>
        <w:rPr/>
      </w:r>
    </w:p>
    <w:p>
      <w:pPr>
        <w:pStyle w:val="BodyText"/>
        <w:spacing w:lineRule="exact" w:line="240"/>
        <w:rPr/>
      </w:pPr>
      <w:r>
        <w:rPr/>
        <w:t>Linda Agerter</w:t>
      </w:r>
    </w:p>
    <w:p>
      <w:pPr>
        <w:pStyle w:val="BodyText"/>
        <w:spacing w:lineRule="exact" w:line="240"/>
        <w:rPr/>
      </w:pPr>
      <w:r>
        <w:rPr/>
        <w:t>Michelle L. Wilson</w:t>
      </w:r>
    </w:p>
    <w:p>
      <w:pPr>
        <w:pStyle w:val="BodyText"/>
        <w:spacing w:lineRule="exact" w:line="240"/>
        <w:rPr/>
      </w:pPr>
      <w:r>
        <w:rPr/>
        <w:t>Randall J. Litteneker</w:t>
      </w:r>
    </w:p>
    <w:p>
      <w:pPr>
        <w:pStyle w:val="BodyText"/>
        <w:spacing w:lineRule="exact" w:line="240"/>
        <w:rPr/>
      </w:pPr>
      <w:r>
        <w:rPr/>
        <w:t>Shirley A. Woo</w:t>
      </w:r>
    </w:p>
    <w:p>
      <w:pPr>
        <w:pStyle w:val="BodyText"/>
        <w:spacing w:lineRule="exact" w:line="240"/>
        <w:rPr/>
      </w:pPr>
      <w:r>
        <w:rPr/>
        <w:t>Post Office Box 7442</w:t>
      </w:r>
    </w:p>
    <w:p>
      <w:pPr>
        <w:pStyle w:val="BodyText"/>
        <w:spacing w:lineRule="exact" w:line="240"/>
        <w:rPr/>
      </w:pPr>
      <w:r>
        <w:rPr/>
        <w:t>San Francisco, CA  94120</w:t>
      </w:r>
    </w:p>
    <w:p>
      <w:pPr>
        <w:pStyle w:val="BodyText"/>
        <w:spacing w:lineRule="exact" w:line="240"/>
        <w:rPr/>
      </w:pPr>
      <w:r>
        <w:rPr/>
        <w:t>Telephone number:  (415) 973-2179</w:t>
      </w:r>
    </w:p>
    <w:p>
      <w:pPr>
        <w:pStyle w:val="BodyText"/>
        <w:spacing w:lineRule="exact" w:line="240"/>
        <w:rPr/>
      </w:pPr>
      <w:r>
        <w:rPr/>
        <w:t>Internet: rjl9@pge.com</w:t>
      </w:r>
    </w:p>
    <w:p>
      <w:pPr>
        <w:pStyle w:val="BodyText"/>
        <w:ind w:end="295"/>
        <w:rPr/>
      </w:pPr>
      <w:r>
        <w:rPr/>
        <w:t>All correspondence and communications regarding this Application should be addressed to Randall J. Litteneker at the above address.</w:t>
      </w:r>
    </w:p>
    <w:p>
      <w:pPr>
        <w:pStyle w:val="Heading2"/>
        <w:widowControl/>
        <w:rPr>
          <w:rFonts w:ascii="Times New Roman" w:hAnsi="Times New Roman" w:eastAsia="Times New Roman" w:cs="Times New Roman"/>
        </w:rPr>
      </w:pPr>
      <w:r>
        <w:rPr>
          <w:rFonts w:eastAsia="Times New Roman" w:cs="Times New Roman" w:ascii="Times New Roman" w:hAnsi="Times New Roman"/>
        </w:rPr>
        <w:t>E.</w:t>
        <w:tab/>
        <w:t>Category Of Proceeding</w:t>
      </w:r>
    </w:p>
    <w:p>
      <w:pPr>
        <w:pStyle w:val="BodyText"/>
        <w:keepNext w:val="true"/>
        <w:keepLines/>
        <w:widowControl/>
        <w:ind w:end="295"/>
        <w:rPr/>
      </w:pPr>
      <w:r>
        <w:rPr/>
        <w:t>Pursuant to Rule 6(a)(1), PG&amp;E believes that this is a quasi-legislative proceeding within the meaning of Rule 5(d) of the Commission’s Rules of Practice and Procedure.</w:t>
      </w:r>
    </w:p>
    <w:p>
      <w:pPr>
        <w:pStyle w:val="Heading2"/>
        <w:rPr>
          <w:rFonts w:ascii="Times New Roman" w:hAnsi="Times New Roman" w:eastAsia="Times New Roman" w:cs="Times New Roman"/>
        </w:rPr>
      </w:pPr>
      <w:r>
        <w:rPr>
          <w:rFonts w:eastAsia="Times New Roman" w:cs="Times New Roman" w:ascii="Times New Roman" w:hAnsi="Times New Roman"/>
        </w:rPr>
        <w:t>F.</w:t>
        <w:tab/>
        <w:t>Notice And Service Of Application</w:t>
      </w:r>
    </w:p>
    <w:p>
      <w:pPr>
        <w:pStyle w:val="BodyText"/>
        <w:ind w:end="295"/>
        <w:rPr/>
      </w:pPr>
      <w:r>
        <w:rPr/>
        <w:t>The Company is serving this Application on the service list in its most recent BCAP proceeding A.00-04-002, and the entities under General Order 96-A, Section III G</w:t>
      </w:r>
      <w:r>
        <w:rPr>
          <w:b/>
          <w:bCs/>
          <w:i/>
          <w:iCs/>
        </w:rPr>
        <w:t>.</w:t>
      </w:r>
    </w:p>
    <w:p>
      <w:pPr>
        <w:pStyle w:val="Heading2"/>
        <w:rPr>
          <w:rFonts w:ascii="Times New Roman" w:hAnsi="Times New Roman" w:eastAsia="Times New Roman" w:cs="Times New Roman"/>
        </w:rPr>
      </w:pPr>
      <w:r>
        <w:rPr>
          <w:rFonts w:eastAsia="Times New Roman" w:cs="Times New Roman" w:ascii="Times New Roman" w:hAnsi="Times New Roman"/>
        </w:rPr>
        <w:t>G.</w:t>
        <w:tab/>
        <w:t>Issues Presented</w:t>
      </w:r>
    </w:p>
    <w:p>
      <w:pPr>
        <w:pStyle w:val="BodyText"/>
        <w:ind w:end="295"/>
        <w:rPr/>
      </w:pPr>
      <w:r>
        <w:rPr/>
        <w:t>The issues to be considered are described above.</w:t>
      </w:r>
    </w:p>
    <w:p>
      <w:pPr>
        <w:pStyle w:val="Heading2"/>
        <w:rPr>
          <w:rFonts w:ascii="Times New Roman" w:hAnsi="Times New Roman" w:eastAsia="Times New Roman" w:cs="Times New Roman"/>
        </w:rPr>
      </w:pPr>
      <w:r>
        <w:rPr>
          <w:rFonts w:eastAsia="Times New Roman" w:cs="Times New Roman" w:ascii="Times New Roman" w:hAnsi="Times New Roman"/>
        </w:rPr>
        <w:t>H.</w:t>
        <w:tab/>
        <w:t>Request for Emergency and Ex Parte Treatment (Rules 15d and 81(f))</w:t>
      </w:r>
    </w:p>
    <w:p>
      <w:pPr>
        <w:pStyle w:val="BodyText"/>
        <w:ind w:end="295"/>
        <w:rPr/>
      </w:pPr>
      <w:r>
        <w:rPr/>
        <w:t xml:space="preserve">As explained above, PG&amp;E, the CPUC and the entire State of California are presented with extraordinary conditions.  PG&amp;E requests that the Commission approve this application on an emergency basis and issue the requested finding ex parte. </w:t>
      </w:r>
    </w:p>
    <w:p>
      <w:pPr>
        <w:pStyle w:val="Heading1"/>
        <w:rPr>
          <w:rFonts w:ascii="Times New Roman" w:hAnsi="Times New Roman" w:eastAsia="Times New Roman" w:cs="Times New Roman"/>
        </w:rPr>
      </w:pPr>
      <w:r>
        <w:rPr>
          <w:rFonts w:eastAsia="Times New Roman" w:cs="Times New Roman" w:ascii="Times New Roman" w:hAnsi="Times New Roman"/>
        </w:rPr>
        <w:t>V.</w:t>
        <w:tab/>
        <w:t>CONCLUSION</w:t>
      </w:r>
    </w:p>
    <w:p>
      <w:pPr>
        <w:pStyle w:val="BodyText"/>
        <w:widowControl/>
        <w:ind w:end="295"/>
        <w:rPr/>
      </w:pPr>
      <w:bookmarkStart w:id="1" w:name="PleadingCPUCModel"/>
      <w:r>
        <w:rPr/>
        <w:t>PG&amp;E respectfully requests the Commission to issue an order providing the relief set forth above.</w:t>
      </w:r>
      <w:bookmarkEnd w:id="1"/>
    </w:p>
    <w:p>
      <w:pPr>
        <w:pStyle w:val="Normal"/>
        <w:spacing w:lineRule="exact" w:line="480"/>
        <w:rPr/>
      </w:pPr>
      <w:r>
        <w:rPr/>
        <w:t>Dated at San Francisco, California, this 18th day of January, 2001.</w:t>
      </w:r>
    </w:p>
    <w:p>
      <w:pPr>
        <w:pStyle w:val="Normal"/>
        <w:spacing w:lineRule="exact" w:line="480"/>
        <w:rPr/>
      </w:pPr>
      <w:r>
        <w:rPr/>
      </w:r>
    </w:p>
    <w:p>
      <w:pPr>
        <w:pStyle w:val="Normal"/>
        <w:keepNext w:val="true"/>
        <w:keepLines/>
        <w:ind w:start="3330" w:end="0"/>
        <w:rPr/>
      </w:pPr>
      <w:r>
        <w:rPr/>
        <w:t>PACIFIC GAS AND ELECTRIC COMPANY</w:t>
      </w:r>
    </w:p>
    <w:p>
      <w:pPr>
        <w:pStyle w:val="Normal"/>
        <w:keepNext w:val="true"/>
        <w:keepLines/>
        <w:ind w:start="3330" w:end="0"/>
        <w:rPr/>
      </w:pPr>
      <w:r>
        <w:rPr/>
      </w:r>
    </w:p>
    <w:p>
      <w:pPr>
        <w:pStyle w:val="Normal"/>
        <w:keepNext w:val="true"/>
        <w:keepLines/>
        <w:ind w:start="3330" w:end="0"/>
        <w:rPr/>
      </w:pPr>
      <w:r>
        <w:rPr/>
      </w:r>
    </w:p>
    <w:p>
      <w:pPr>
        <w:pStyle w:val="Normal"/>
        <w:keepNext w:val="true"/>
        <w:keepLines/>
        <w:pBdr>
          <w:bottom w:val="single" w:sz="12" w:space="1" w:color="000000"/>
        </w:pBdr>
        <w:ind w:start="3330" w:end="0"/>
        <w:rPr/>
      </w:pPr>
      <w:r>
        <w:rPr/>
      </w:r>
    </w:p>
    <w:p>
      <w:pPr>
        <w:pStyle w:val="Normal"/>
        <w:keepNext w:val="true"/>
        <w:keepLines/>
        <w:ind w:start="3330" w:end="0"/>
        <w:rPr/>
      </w:pPr>
      <w:r>
        <w:rPr/>
        <w:t>KENT M. HARVEY</w:t>
      </w:r>
    </w:p>
    <w:p>
      <w:pPr>
        <w:pStyle w:val="BodyText"/>
        <w:widowControl/>
        <w:ind w:firstLine="450" w:start="2880" w:end="0"/>
        <w:rPr/>
      </w:pPr>
      <w:r>
        <w:rPr/>
        <w:t>Senior Vice President, Chief Financial Officer, and Treasurer</w:t>
      </w:r>
    </w:p>
    <w:p>
      <w:pPr>
        <w:pStyle w:val="BodyText"/>
        <w:widowControl/>
        <w:rPr/>
      </w:pPr>
      <w:r>
        <w:rPr/>
      </w:r>
    </w:p>
    <w:p>
      <w:pPr>
        <w:pStyle w:val="Normal"/>
        <w:keepNext w:val="true"/>
        <w:keepLines/>
        <w:widowControl/>
        <w:rPr/>
      </w:pPr>
      <w:r>
        <w:rPr/>
      </w:r>
    </w:p>
    <w:p>
      <w:pPr>
        <w:pStyle w:val="Normal"/>
        <w:keepNext w:val="true"/>
        <w:keepLines/>
        <w:widowControl/>
        <w:rPr/>
      </w:pPr>
      <w:r>
        <w:rPr/>
      </w:r>
    </w:p>
    <w:p>
      <w:pPr>
        <w:pStyle w:val="Footer"/>
        <w:keepNext w:val="true"/>
        <w:keepLines/>
        <w:widowControl/>
        <w:tabs>
          <w:tab w:val="clear" w:pos="4320"/>
          <w:tab w:val="clear" w:pos="9821"/>
        </w:tabs>
        <w:rPr/>
      </w:pPr>
      <w:r>
        <w:rPr/>
        <w:t>LINDA L. AGERTER</w:t>
      </w:r>
    </w:p>
    <w:p>
      <w:pPr>
        <w:pStyle w:val="Footer"/>
        <w:keepNext w:val="true"/>
        <w:keepLines/>
        <w:widowControl/>
        <w:tabs>
          <w:tab w:val="clear" w:pos="4320"/>
          <w:tab w:val="clear" w:pos="9821"/>
        </w:tabs>
        <w:rPr/>
      </w:pPr>
      <w:r>
        <w:rPr/>
        <w:t>MICHELLE L. WILSON</w:t>
      </w:r>
    </w:p>
    <w:p>
      <w:pPr>
        <w:pStyle w:val="Footer"/>
        <w:keepNext w:val="true"/>
        <w:keepLines/>
        <w:widowControl/>
        <w:tabs>
          <w:tab w:val="clear" w:pos="4320"/>
          <w:tab w:val="clear" w:pos="9821"/>
        </w:tabs>
        <w:rPr/>
      </w:pPr>
      <w:r>
        <w:rPr/>
        <w:t>RANDALL J. LITTENEKER</w:t>
      </w:r>
    </w:p>
    <w:p>
      <w:pPr>
        <w:pStyle w:val="Footer"/>
        <w:keepNext w:val="true"/>
        <w:keepLines/>
        <w:widowControl/>
        <w:tabs>
          <w:tab w:val="clear" w:pos="4320"/>
          <w:tab w:val="clear" w:pos="9821"/>
        </w:tabs>
        <w:rPr/>
      </w:pPr>
      <w:r>
        <w:rPr/>
        <w:t>SHIRLEY A. WOO</w:t>
      </w:r>
    </w:p>
    <w:p>
      <w:pPr>
        <w:pStyle w:val="Normal"/>
        <w:keepNext w:val="true"/>
        <w:keepLines/>
        <w:widowControl/>
        <w:rPr/>
      </w:pPr>
      <w:r>
        <w:rPr/>
      </w:r>
    </w:p>
    <w:p>
      <w:pPr>
        <w:pStyle w:val="Normal"/>
        <w:keepNext w:val="true"/>
        <w:keepLines/>
        <w:widowControl/>
        <w:rPr/>
      </w:pPr>
      <w:r>
        <w:rPr/>
      </w:r>
    </w:p>
    <w:p>
      <w:pPr>
        <w:pStyle w:val="Normal"/>
        <w:keepNext w:val="true"/>
        <w:keepLines/>
        <w:widowControl/>
        <w:rPr>
          <w:u w:val="single"/>
        </w:rPr>
      </w:pPr>
      <w:r>
        <w:rPr>
          <w:u w:val="single"/>
        </w:rPr>
        <w:t xml:space="preserve">/S/                                                  </w:t>
      </w:r>
    </w:p>
    <w:p>
      <w:pPr>
        <w:pStyle w:val="Normal"/>
        <w:keepNext w:val="true"/>
        <w:keepLines/>
        <w:widowControl/>
        <w:rPr/>
      </w:pPr>
      <w:r>
        <w:rPr/>
        <w:t>By:  Randall J. Litteneker</w:t>
      </w:r>
    </w:p>
    <w:p>
      <w:pPr>
        <w:pStyle w:val="Normal"/>
        <w:keepNext w:val="true"/>
        <w:keepLines/>
        <w:widowControl/>
        <w:rPr/>
      </w:pPr>
      <w:r>
        <w:rPr/>
      </w:r>
    </w:p>
    <w:p>
      <w:pPr>
        <w:pStyle w:val="Normal"/>
        <w:keepNext w:val="true"/>
        <w:keepLines/>
        <w:widowControl/>
        <w:rPr/>
      </w:pPr>
      <w:r>
        <w:rPr/>
        <w:t>Attorneys for</w:t>
      </w:r>
    </w:p>
    <w:p>
      <w:pPr>
        <w:pStyle w:val="Footer"/>
        <w:keepNext w:val="true"/>
        <w:keepLines/>
        <w:widowControl/>
        <w:tabs>
          <w:tab w:val="clear" w:pos="4320"/>
          <w:tab w:val="clear" w:pos="9821"/>
        </w:tabs>
        <w:rPr/>
      </w:pPr>
      <w:r>
        <w:rPr/>
        <w:t>PACIFIC GAS AND ELECTRIC COMPANY</w:t>
      </w:r>
    </w:p>
    <w:p>
      <w:pPr>
        <w:pStyle w:val="Footer"/>
        <w:keepNext w:val="true"/>
        <w:keepLines/>
        <w:widowControl/>
        <w:tabs>
          <w:tab w:val="clear" w:pos="4320"/>
          <w:tab w:val="clear" w:pos="9821"/>
        </w:tabs>
        <w:rPr/>
      </w:pPr>
      <w:r>
        <w:rPr/>
        <w:t>Post Office Box 7442</w:t>
      </w:r>
    </w:p>
    <w:p>
      <w:pPr>
        <w:pStyle w:val="Normal"/>
        <w:keepNext w:val="true"/>
        <w:keepLines/>
        <w:widowControl/>
        <w:rPr/>
      </w:pPr>
      <w:r>
        <w:rPr/>
        <w:t>San Francisco, CA  94120</w:t>
      </w:r>
    </w:p>
    <w:p>
      <w:pPr>
        <w:pStyle w:val="Normal"/>
        <w:keepNext w:val="true"/>
        <w:keepLines/>
        <w:widowControl/>
        <w:rPr/>
      </w:pPr>
      <w:r>
        <w:rPr/>
        <w:t>Telephone:  (415) 973-2179</w:t>
      </w:r>
    </w:p>
    <w:p>
      <w:pPr>
        <w:pStyle w:val="Normal"/>
        <w:keepNext w:val="true"/>
        <w:keepLines/>
        <w:widowControl/>
        <w:rPr/>
      </w:pPr>
      <w:r>
        <w:rPr/>
        <w:t>Facsimile:  (415) 973-0516</w:t>
      </w:r>
    </w:p>
    <w:p>
      <w:pPr>
        <w:pStyle w:val="Normal"/>
        <w:keepNext w:val="true"/>
        <w:keepLines/>
        <w:widowControl/>
        <w:rPr/>
      </w:pPr>
      <w:r>
        <w:rPr/>
        <w:t>Internet rjl9@pge.com</w:t>
      </w:r>
    </w:p>
    <w:p>
      <w:pPr>
        <w:pStyle w:val="Normal"/>
        <w:keepNext w:val="true"/>
        <w:keepLines/>
        <w:widowControl/>
        <w:rPr/>
      </w:pPr>
      <w:r>
        <w:rPr/>
      </w:r>
    </w:p>
    <w:p>
      <w:pPr>
        <w:pStyle w:val="Normal"/>
        <w:keepNext w:val="true"/>
        <w:keepLines/>
        <w:widowControl/>
        <w:rPr/>
      </w:pPr>
      <w:r>
        <w:rPr/>
        <w:t>Dated:  January 18, 2001</w:t>
      </w:r>
      <w:r>
        <w:br w:type="page"/>
      </w:r>
    </w:p>
    <w:p>
      <w:pPr>
        <w:pStyle w:val="Normal"/>
        <w:widowControl/>
        <w:spacing w:lineRule="auto" w:line="360"/>
        <w:ind w:firstLine="720" w:end="0"/>
        <w:jc w:val="center"/>
        <w:rPr/>
      </w:pPr>
      <w:r>
        <w:rPr/>
        <w:t>VERIFICATION</w:t>
      </w:r>
    </w:p>
    <w:p>
      <w:pPr>
        <w:pStyle w:val="Normal"/>
        <w:widowControl/>
        <w:spacing w:lineRule="auto" w:line="360"/>
        <w:ind w:firstLine="720" w:end="0"/>
        <w:rPr/>
      </w:pPr>
      <w:r>
        <w:rPr/>
      </w:r>
    </w:p>
    <w:p>
      <w:pPr>
        <w:pStyle w:val="Normal"/>
        <w:widowControl/>
        <w:spacing w:lineRule="auto" w:line="360"/>
        <w:ind w:firstLine="720" w:end="0"/>
        <w:rPr/>
      </w:pPr>
      <w:r>
        <w:rPr/>
      </w:r>
    </w:p>
    <w:p>
      <w:pPr>
        <w:pStyle w:val="Normal"/>
        <w:widowControl/>
        <w:spacing w:lineRule="auto" w:line="360"/>
        <w:ind w:firstLine="720" w:end="0"/>
        <w:rPr/>
      </w:pPr>
      <w:r>
        <w:rPr/>
        <w:t>I, the undersigned, say:</w:t>
      </w:r>
    </w:p>
    <w:p>
      <w:pPr>
        <w:pStyle w:val="Normal"/>
        <w:widowControl/>
        <w:spacing w:lineRule="auto" w:line="360"/>
        <w:ind w:firstLine="720" w:end="0"/>
        <w:rPr/>
      </w:pPr>
      <w:r>
        <w:rPr/>
      </w:r>
    </w:p>
    <w:p>
      <w:pPr>
        <w:pStyle w:val="Normal"/>
        <w:widowControl/>
        <w:spacing w:lineRule="auto" w:line="360"/>
        <w:ind w:firstLine="720" w:end="0"/>
        <w:rPr/>
      </w:pPr>
      <w:r>
        <w:rPr/>
        <w:t>I am an officer of PACIFIC GAS AND ELECTRIC COMPANY, a corporation, and am authorized to make this verification for and on behalf of said corporation, and I make this verification for that reason; I have read the foregoing application and I am informed and believe that the matters therein concerning PACFIC GAS AND ELECTRIC COMPANY are true.</w:t>
      </w:r>
    </w:p>
    <w:p>
      <w:pPr>
        <w:pStyle w:val="Normal"/>
        <w:widowControl/>
        <w:spacing w:lineRule="auto" w:line="360"/>
        <w:ind w:firstLine="720" w:end="0"/>
        <w:rPr/>
      </w:pPr>
      <w:r>
        <w:rPr/>
        <w:t>I declare under penalty of perjury under the laws of the State of California that the foregoing is true and correct.</w:t>
      </w:r>
    </w:p>
    <w:p>
      <w:pPr>
        <w:pStyle w:val="Normal"/>
        <w:widowControl/>
        <w:spacing w:lineRule="auto" w:line="360"/>
        <w:ind w:firstLine="720" w:end="0"/>
        <w:rPr/>
      </w:pPr>
      <w:r>
        <w:rPr/>
        <w:t>Executed on January 18, 2001, at San Francisco, California.</w:t>
      </w:r>
    </w:p>
    <w:p>
      <w:pPr>
        <w:pStyle w:val="Normal"/>
        <w:widowControl/>
        <w:spacing w:lineRule="auto" w:line="360"/>
        <w:ind w:firstLine="720" w:end="0"/>
        <w:rPr/>
      </w:pPr>
      <w:r>
        <w:rPr/>
      </w:r>
    </w:p>
    <w:p>
      <w:pPr>
        <w:pStyle w:val="Normal"/>
        <w:widowControl/>
        <w:spacing w:lineRule="auto" w:line="360"/>
        <w:ind w:firstLine="720" w:end="0"/>
        <w:rPr/>
      </w:pPr>
      <w:r>
        <w:rPr/>
        <w:tab/>
        <w:tab/>
        <w:tab/>
        <w:tab/>
        <w:tab/>
        <w:t>___________________________</w:t>
      </w:r>
    </w:p>
    <w:p>
      <w:pPr>
        <w:pStyle w:val="Normal"/>
        <w:widowControl/>
        <w:spacing w:lineRule="auto" w:line="360"/>
        <w:rPr/>
      </w:pPr>
      <w:r>
        <w:rPr/>
        <w:tab/>
        <w:tab/>
        <w:tab/>
        <w:tab/>
        <w:tab/>
        <w:tab/>
        <w:t>KENT M. HARVEY</w:t>
      </w:r>
    </w:p>
    <w:p>
      <w:pPr>
        <w:pStyle w:val="Normal"/>
        <w:keepNext w:val="true"/>
        <w:keepLines/>
        <w:widowControl/>
        <w:rPr/>
      </w:pPr>
      <w:r>
        <w:rPr/>
      </w:r>
    </w:p>
    <w:sectPr>
      <w:headerReference w:type="default" r:id="rId6"/>
      <w:headerReference w:type="first" r:id="rId7"/>
      <w:footerReference w:type="default" r:id="rId8"/>
      <w:footerReference w:type="first" r:id="rId9"/>
      <w:footnotePr>
        <w:numFmt w:val="decimal"/>
      </w:footnotePr>
      <w:type w:val="nextPage"/>
      <w:pgSz w:w="12240" w:h="15840"/>
      <w:pgMar w:left="1800" w:right="605" w:gutter="0" w:header="432" w:top="2304" w:footer="360" w:bottom="108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eastAsia="Arial" w:cs="Arial"/>
        <w:sz w:val="24"/>
        <w:szCs w:val="24"/>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szCs w:val="24"/>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28270" cy="152400"/>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2pt;mso-wrap-distance-left:0pt;mso-wrap-distance-right:0pt;mso-wrap-distance-top:0pt;mso-wrap-distance-bottom:0pt;margin-top:0.05pt;mso-position-vertical-relative:text;margin-left:240.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ind w:hanging="432" w:start="432" w:end="0"/>
        <w:rPr/>
      </w:pPr>
      <w:r>
        <w:rPr>
          <w:rStyle w:val="FootnoteCharacters"/>
        </w:rPr>
        <w:footnoteRef/>
      </w:r>
      <w:r>
        <w:rPr/>
        <w:t xml:space="preserve"> </w:t>
      </w:r>
      <w:r>
        <w:rPr>
          <w:rFonts w:eastAsia="Times New Roman" w:cs="Times New Roman" w:ascii="Times New Roman" w:hAnsi="Times New Roman"/>
        </w:rPr>
        <w:t>In addition, the out-of-state pipeline companies in the U.S. and Canada that transport natural gas for PG&amp;E, for ultimate delivery to PG&amp;E’s core gas customers, have made similar demands upon PG&amp;E under the terms of their firm gas transportation agreements and related government-approved tariffs.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5806440" cy="14605"/>
              <wp:effectExtent l="0" t="0" r="0" b="0"/>
              <wp:wrapNone/>
              <wp:docPr id="1" name="Frame3"/>
              <a:graphic xmlns:a="http://schemas.openxmlformats.org/drawingml/2006/main">
                <a:graphicData uri="http://schemas.microsoft.com/office/word/2010/wordprocessingShape">
                  <wps:wsp>
                    <wps:cNvSpPr txBox="1"/>
                    <wps:spPr>
                      <a:xfrm>
                        <a:off x="0" y="0"/>
                        <a:ext cx="5806440" cy="14605"/>
                      </a:xfrm>
                      <a:prstGeom prst="rect"/>
                      <a:solidFill>
                        <a:srgbClr val="FFFFFF"/>
                      </a:solidFill>
                    </wps:spPr>
                    <wps:txbx>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wps:txbx>
                    <wps:bodyPr anchor="t" lIns="0" tIns="0" rIns="0" bIns="0">
                      <a:noAutofit/>
                    </wps:bodyPr>
                  </wps:wsp>
                </a:graphicData>
              </a:graphic>
            </wp:anchor>
          </w:drawing>
        </mc:Choice>
        <mc:Fallback>
          <w:pict>
            <v:rect style="position:absolute;rotation:-0;width:457.2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7">
              <wp:simplePos x="0" y="0"/>
              <wp:positionH relativeFrom="column">
                <wp:align>left</wp:align>
              </wp:positionH>
              <wp:positionV relativeFrom="line">
                <wp:posOffset>635</wp:posOffset>
              </wp:positionV>
              <wp:extent cx="6245225" cy="457200"/>
              <wp:effectExtent l="0" t="0" r="0" b="0"/>
              <wp:wrapNone/>
              <wp:docPr id="3" name="Frame6"/>
              <a:graphic xmlns:a="http://schemas.openxmlformats.org/drawingml/2006/main">
                <a:graphicData uri="http://schemas.microsoft.com/office/word/2010/wordprocessingShape">
                  <wps:wsp>
                    <wps:cNvSpPr txBox="1"/>
                    <wps:spPr>
                      <a:xfrm>
                        <a:off x="0" y="0"/>
                        <a:ext cx="6245225" cy="457200"/>
                      </a:xfrm>
                      <a:prstGeom prst="rect"/>
                      <a:solidFill>
                        <a:srgbClr val="FFFFFF"/>
                      </a:solidFill>
                    </wps:spPr>
                    <wps:txbx>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wps:txbx>
                    <wps:bodyPr anchor="t" lIns="0" tIns="0" rIns="0" bIns="0">
                      <a:noAutofit/>
                    </wps:bodyPr>
                  </wps:wsp>
                </a:graphicData>
              </a:graphic>
            </wp:anchor>
          </w:drawing>
        </mc:Choice>
        <mc:Fallback>
          <w:pict>
            <v:rect style="position:absolute;rotation:-0;width:491.75pt;height:3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8">
              <wp:simplePos x="0" y="0"/>
              <wp:positionH relativeFrom="column">
                <wp:align>left</wp:align>
              </wp:positionH>
              <wp:positionV relativeFrom="line">
                <wp:posOffset>635</wp:posOffset>
              </wp:positionV>
              <wp:extent cx="6245225" cy="152400"/>
              <wp:effectExtent l="0" t="0" r="0" b="0"/>
              <wp:wrapNone/>
              <wp:docPr id="4" name="Frame4"/>
              <a:graphic xmlns:a="http://schemas.openxmlformats.org/drawingml/2006/main">
                <a:graphicData uri="http://schemas.microsoft.com/office/word/2010/wordprocessingShape">
                  <wps:wsp>
                    <wps:cNvSpPr txBox="1"/>
                    <wps:spPr>
                      <a:xfrm>
                        <a:off x="0" y="0"/>
                        <a:ext cx="6245225" cy="152400"/>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491.75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rFonts w:ascii="Arial" w:hAnsi="Arial" w:eastAsia="Arial" w:cs="Arial"/>
      <w:b/>
      <w:bCs/>
      <w:caps/>
    </w:rPr>
  </w:style>
  <w:style w:type="paragraph" w:styleId="Heading2">
    <w:name w:val="heading 2"/>
    <w:basedOn w:val="Heading1"/>
    <w:next w:val="BodyText"/>
    <w:qFormat/>
    <w:pPr>
      <w:numPr>
        <w:ilvl w:val="1"/>
        <w:numId w:val="1"/>
      </w:numPr>
      <w:ind w:hanging="720" w:start="1440" w:end="1440"/>
      <w:outlineLvl w:val="1"/>
    </w:pPr>
    <w:rPr>
      <w:caps w:val="false"/>
      <w:smallCaps w:val="false"/>
    </w:rPr>
  </w:style>
  <w:style w:type="paragraph" w:styleId="Heading3">
    <w:name w:val="heading 3"/>
    <w:basedOn w:val="Heading2"/>
    <w:next w:val="BodyText"/>
    <w:qFormat/>
    <w:pPr>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caps/>
      <w:sz w:val="20"/>
      <w:szCs w:val="20"/>
      <w:u w:val="single"/>
      <w:vertAlign w:val="superscript"/>
    </w:rPr>
  </w:style>
  <w:style w:type="character" w:styleId="PageNumber">
    <w:name w:val="page number"/>
    <w:basedOn w:val="DefaultParagraphFont"/>
    <w:rPr>
      <w:sz w:val="20"/>
      <w:szCs w:val="20"/>
    </w:rPr>
  </w:style>
  <w:style w:type="character" w:styleId="CommentReference">
    <w:name w:val="Comment Reference"/>
    <w:basedOn w:val="DefaultParagraphFont"/>
    <w:qFormat/>
    <w:rPr>
      <w:sz w:val="16"/>
      <w:szCs w:val="16"/>
    </w:rPr>
  </w:style>
  <w:style w:type="character" w:styleId="Hyperlink">
    <w:name w:val="Hyperlink"/>
    <w:basedOn w:val="DefaultParagraphFont"/>
    <w:qFormat/>
    <w:rPr>
      <w:color w:val="0000FF"/>
      <w:sz w:val="20"/>
      <w:szCs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Arial" w:hAnsi="Arial" w:eastAsia="Arial" w:cs="Arial"/>
    </w:rPr>
  </w:style>
  <w:style w:type="paragraph" w:styleId="Header">
    <w:name w:val="header"/>
    <w:basedOn w:val="Normal"/>
    <w:pPr>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val="false"/>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35" w:leader="dot"/>
      </w:tabs>
      <w:spacing w:before="0" w:after="120"/>
      <w:ind w:hanging="806" w:start="806" w:end="1440"/>
    </w:pPr>
    <w:rPr>
      <w:caps/>
    </w:rPr>
  </w:style>
  <w:style w:type="paragraph" w:styleId="TOC2">
    <w:name w:val="toc 2"/>
    <w:basedOn w:val="Normal"/>
    <w:pPr>
      <w:tabs>
        <w:tab w:val="clear" w:pos="720"/>
        <w:tab w:val="right" w:pos="9835" w:leader="dot"/>
      </w:tabs>
      <w:spacing w:before="0" w:after="120"/>
      <w:ind w:hanging="634" w:start="1440" w:end="1440"/>
    </w:pPr>
    <w:rPr/>
  </w:style>
  <w:style w:type="paragraph" w:styleId="TOC3">
    <w:name w:val="toc 3"/>
    <w:basedOn w:val="Normal"/>
    <w:pPr>
      <w:keepLines/>
      <w:tabs>
        <w:tab w:val="clear" w:pos="720"/>
        <w:tab w:val="right" w:pos="9835" w:leader="dot"/>
      </w:tabs>
      <w:spacing w:before="0" w:after="120"/>
      <w:ind w:hanging="720" w:start="2160" w:end="1440"/>
    </w:pPr>
    <w:rPr/>
  </w:style>
  <w:style w:type="paragraph" w:styleId="TOC4">
    <w:name w:val="toc 4"/>
    <w:basedOn w:val="Normal"/>
    <w:pPr>
      <w:keepLines/>
      <w:tabs>
        <w:tab w:val="clear" w:pos="720"/>
        <w:tab w:val="right" w:pos="9835" w:leader="dot"/>
      </w:tabs>
      <w:spacing w:before="0" w:after="120"/>
      <w:ind w:hanging="720" w:start="2880" w:end="1440"/>
    </w:pPr>
    <w:rPr/>
  </w:style>
  <w:style w:type="paragraph" w:styleId="TOC5">
    <w:name w:val="toc 5"/>
    <w:basedOn w:val="Normal"/>
    <w:pPr>
      <w:keepLines/>
      <w:tabs>
        <w:tab w:val="clear" w:pos="720"/>
        <w:tab w:val="right" w:pos="9835" w:leader="dot"/>
      </w:tabs>
      <w:spacing w:before="0" w:after="120"/>
      <w:ind w:hanging="720" w:start="3600" w:end="1440"/>
    </w:pPr>
    <w:rPr/>
  </w:style>
  <w:style w:type="paragraph" w:styleId="TOC6">
    <w:name w:val="toc 6"/>
    <w:basedOn w:val="Normal"/>
    <w:pPr>
      <w:keepLines/>
      <w:tabs>
        <w:tab w:val="clear" w:pos="720"/>
        <w:tab w:val="right" w:pos="9835" w:leader="dot"/>
      </w:tabs>
      <w:spacing w:before="0" w:after="120"/>
      <w:ind w:hanging="720" w:start="4320" w:end="1440"/>
    </w:pPr>
    <w:rPr/>
  </w:style>
  <w:style w:type="paragraph" w:styleId="TOC7">
    <w:name w:val="toc 7"/>
    <w:basedOn w:val="Normal"/>
    <w:pPr>
      <w:keepLines/>
      <w:tabs>
        <w:tab w:val="clear" w:pos="720"/>
        <w:tab w:val="right" w:pos="9835" w:leader="dot"/>
      </w:tabs>
      <w:spacing w:before="0" w:after="120"/>
      <w:ind w:hanging="806" w:start="5126" w:end="1440"/>
    </w:pPr>
    <w:rPr/>
  </w:style>
  <w:style w:type="paragraph" w:styleId="TOC8">
    <w:name w:val="toc 8"/>
    <w:basedOn w:val="Normal"/>
    <w:pPr>
      <w:keepLines/>
      <w:tabs>
        <w:tab w:val="clear" w:pos="720"/>
        <w:tab w:val="right" w:pos="9835" w:leader="dot"/>
      </w:tabs>
      <w:spacing w:before="0" w:after="120"/>
      <w:ind w:hanging="634" w:start="5760" w:end="1440"/>
    </w:pPr>
    <w:rPr/>
  </w:style>
  <w:style w:type="paragraph" w:styleId="TOC9">
    <w:name w:val="toc 9"/>
    <w:basedOn w:val="Normal"/>
    <w:pPr>
      <w:keepLines/>
      <w:tabs>
        <w:tab w:val="clear" w:pos="720"/>
        <w:tab w:val="right" w:pos="9835"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CommentText">
    <w:name w:val="Comment Text"/>
    <w:basedOn w:val="Normal"/>
    <w:qFormat/>
    <w:pPr/>
    <w:rPr>
      <w:sz w:val="20"/>
      <w:szCs w:val="20"/>
    </w:rPr>
  </w:style>
  <w:style w:type="paragraph" w:styleId="DocumentMap">
    <w:name w:val="Document Map"/>
    <w:basedOn w:val="Normal"/>
    <w:qFormat/>
    <w:pPr>
      <w:shd w:fill="000080" w:val="clear"/>
    </w:pPr>
    <w:rPr>
      <w:rFonts w:ascii="Tahoma" w:hAnsi="Tahoma" w:eastAsia="Tahoma" w:cs="Tahoma"/>
    </w:rPr>
  </w:style>
  <w:style w:type="paragraph" w:styleId="BodyText21">
    <w:name w:val="Body Text 21"/>
    <w:basedOn w:val="Normal"/>
    <w:qFormat/>
    <w:pPr>
      <w:jc w:val="center"/>
    </w:pPr>
    <w:rPr>
      <w:rFonts w:ascii="Arial" w:hAnsi="Arial" w:eastAsia="Arial" w:cs="Arial"/>
      <w:b/>
      <w:bCs/>
    </w:rPr>
  </w:style>
  <w:style w:type="paragraph" w:styleId="Body0">
    <w:name w:val="Body 0"/>
    <w:basedOn w:val="Normal"/>
    <w:qFormat/>
    <w:pPr>
      <w:spacing w:lineRule="exact" w:line="400"/>
      <w:ind w:firstLine="432" w:start="0" w:end="0"/>
    </w:pPr>
    <w:rPr>
      <w:rFonts w:ascii="Arial" w:hAnsi="Arial" w:eastAsia="Arial" w:cs="Arial"/>
      <w:color w:val="000000"/>
    </w:rPr>
  </w:style>
  <w:style w:type="paragraph" w:styleId="DoubleSpace">
    <w:name w:val="Double Space"/>
    <w:basedOn w:val="Normal"/>
    <w:qFormat/>
    <w:pPr>
      <w:spacing w:lineRule="auto" w:line="480"/>
    </w:pPr>
    <w:rPr>
      <w:sz w:val="26"/>
      <w:szCs w:val="26"/>
    </w:rPr>
  </w:style>
  <w:style w:type="paragraph" w:styleId="DoubleIndent">
    <w:name w:val="Double Indent"/>
    <w:basedOn w:val="Normal"/>
    <w:qFormat/>
    <w:pPr>
      <w:spacing w:lineRule="auto" w:line="240" w:before="0" w:after="240"/>
      <w:ind w:hanging="0" w:start="1440" w:end="1440"/>
    </w:pPr>
    <w:rPr>
      <w:sz w:val="26"/>
      <w:szCs w:val="26"/>
    </w:rPr>
  </w:style>
  <w:style w:type="paragraph" w:styleId="ListNumber">
    <w:name w:val="List Number"/>
    <w:basedOn w:val="Normal"/>
    <w:qFormat/>
    <w:pPr>
      <w:numPr>
        <w:ilvl w:val="0"/>
        <w:numId w:val="2"/>
      </w:numPr>
      <w:ind w:hanging="360" w:start="360" w:end="0"/>
    </w:pPr>
    <w:rPr/>
  </w:style>
  <w:style w:type="paragraph" w:styleId="listnumber2">
    <w:name w:val="list number 2"/>
    <w:basedOn w:val="ListNumber"/>
    <w:qFormat/>
    <w:pPr>
      <w:spacing w:lineRule="auto" w:line="240" w:before="0" w:after="240"/>
      <w:ind w:hanging="720" w:start="1440" w:end="0"/>
    </w:pPr>
    <w:rPr>
      <w:sz w:val="26"/>
      <w:szCs w:val="26"/>
    </w:rPr>
  </w:style>
  <w:style w:type="paragraph" w:styleId="QAquote">
    <w:name w:val="Q&amp;Aquote"/>
    <w:basedOn w:val="Normal"/>
    <w:qFormat/>
    <w:pPr>
      <w:spacing w:lineRule="auto" w:line="240"/>
      <w:ind w:hanging="0" w:start="720" w:end="720"/>
    </w:pPr>
    <w:rPr>
      <w:rFonts w:ascii="Arial" w:hAnsi="Arial" w:eastAsia="Arial" w:cs="Arial"/>
    </w:rPr>
  </w:style>
  <w:style w:type="paragraph" w:styleId="NumberedList1">
    <w:name w:val="Numbered List 1"/>
    <w:basedOn w:val="BodyText"/>
    <w:qFormat/>
    <w:pPr>
      <w:spacing w:lineRule="exact" w:line="400" w:before="0" w:after="120"/>
      <w:ind w:hanging="432" w:start="1296" w:end="0"/>
    </w:pPr>
    <w:rPr>
      <w:rFonts w:ascii="Arial" w:hAnsi="Arial" w:eastAsia="Arial" w:cs="Arial"/>
    </w:rPr>
  </w:style>
  <w:style w:type="paragraph" w:styleId="Quote-5inch">
    <w:name w:val="Quote - .5 inch"/>
    <w:basedOn w:val="Normal"/>
    <w:next w:val="Normal"/>
    <w:qFormat/>
    <w:pPr>
      <w:spacing w:lineRule="auto" w:line="240" w:before="240" w:after="0"/>
      <w:ind w:hanging="0" w:start="720" w:end="720"/>
    </w:pPr>
    <w:rPr>
      <w:rFonts w:ascii="Arial" w:hAnsi="Arial" w:eastAsia="Arial" w:cs="Arial"/>
    </w:rPr>
  </w:style>
  <w:style w:type="paragraph" w:styleId="Bullet2">
    <w:name w:val="Bullet 2"/>
    <w:basedOn w:val="Normal"/>
    <w:qFormat/>
    <w:pPr>
      <w:numPr>
        <w:ilvl w:val="0"/>
        <w:numId w:val="3"/>
      </w:numPr>
      <w:spacing w:lineRule="exact" w:line="400" w:before="0" w:after="120"/>
      <w:ind w:hanging="432" w:start="1296" w:end="0"/>
    </w:pPr>
    <w:rPr>
      <w:rFonts w:ascii="Arial" w:hAnsi="Arial" w:eastAsia="Arial" w:cs="Arial"/>
      <w:color w:val="000000"/>
    </w:rPr>
  </w:style>
  <w:style w:type="paragraph" w:styleId="TableCaption">
    <w:name w:val="Table Caption"/>
    <w:basedOn w:val="Normal"/>
    <w:qFormat/>
    <w:pPr>
      <w:keepNext w:val="true"/>
      <w:keepLines/>
      <w:spacing w:lineRule="atLeast" w:line="240" w:before="440" w:after="220"/>
      <w:jc w:val="center"/>
    </w:pPr>
    <w:rPr>
      <w:rFonts w:ascii="Arial" w:hAnsi="Arial" w:eastAsia="Arial" w:cs="Arial"/>
      <w:b/>
      <w:bCs/>
      <w:caps/>
      <w:sz w:val="20"/>
      <w:szCs w:val="20"/>
    </w:rPr>
  </w:style>
  <w:style w:type="paragraph" w:styleId="Table">
    <w:name w:val="Table"/>
    <w:basedOn w:val="Normal"/>
    <w:qFormat/>
    <w:pPr>
      <w:keepNext w:val="true"/>
      <w:keepLines/>
      <w:spacing w:lineRule="auto" w:line="240"/>
    </w:pPr>
    <w:rPr>
      <w:rFonts w:ascii="Arial" w:hAnsi="Arial" w:eastAsia="Arial" w:cs="Arial"/>
      <w:sz w:val="20"/>
      <w:szCs w:val="20"/>
    </w:rPr>
  </w:style>
  <w:style w:type="paragraph" w:styleId="Table-FirstRow">
    <w:name w:val="Table - First Row"/>
    <w:basedOn w:val="Table"/>
    <w:qFormat/>
    <w:pPr>
      <w:spacing w:before="120" w:after="0"/>
    </w:pPr>
    <w:rPr/>
  </w:style>
  <w:style w:type="paragraph" w:styleId="Body1">
    <w:name w:val="Body 1"/>
    <w:basedOn w:val="Normal"/>
    <w:qFormat/>
    <w:pPr>
      <w:spacing w:lineRule="exact" w:line="400"/>
      <w:ind w:firstLine="432" w:start="432" w:end="0"/>
    </w:pPr>
    <w:rPr>
      <w:rFonts w:ascii="Arial" w:hAnsi="Arial" w:eastAsia="Arial" w:cs="Arial"/>
      <w:color w:val="000000"/>
    </w:rPr>
  </w:style>
  <w:style w:type="paragraph" w:styleId="BodyText3">
    <w:name w:val="Body Text 3"/>
    <w:basedOn w:val="Normal"/>
    <w:qFormat/>
    <w:pPr>
      <w:jc w:val="center"/>
    </w:pPr>
    <w:rPr>
      <w:rFonts w:ascii="Arial" w:hAnsi="Arial" w:eastAsia="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2001-01-18T20:10:00Z</dcterms:created>
  <dc:creator>Randall Litteneker</dc:creator>
  <dc:description/>
  <dc:language>en-CA</dc:language>
  <cp:lastModifiedBy>Randall Litteneker</cp:lastModifiedBy>
  <cp:lastPrinted>2001-01-18T15:10:00Z</cp:lastPrinted>
  <dcterms:modified xsi:type="dcterms:W3CDTF">2001-01-18T20:53:00Z</dcterms:modified>
  <cp:revision>7</cp:revision>
  <dc:subject/>
  <dc:title>PG&amp;E CPUC Pleading Template, rev. 8/1/96, The Legal MacPac</dc:title>
</cp:coreProperties>
</file>