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Electronic Trading Indices</w:t>
      </w:r>
    </w:p>
    <w:p>
      <w:pPr>
        <w:pStyle w:val="Normal"/>
        <w:jc w:val="both"/>
        <w:rPr>
          <w:rFonts w:ascii="Arial" w:hAnsi="Arial" w:cs="Arial"/>
          <w:b/>
          <w:sz w:val="26"/>
        </w:rPr>
      </w:pPr>
      <w:r>
        <w:rPr>
          <w:rFonts w:cs="Arial" w:ascii="Arial" w:hAnsi="Arial"/>
          <w:b/>
          <w:sz w:val="26"/>
        </w:rPr>
      </w:r>
    </w:p>
    <w:p>
      <w:pPr>
        <w:pStyle w:val="BodyText"/>
        <w:rPr>
          <w:sz w:val="22"/>
        </w:rPr>
      </w:pPr>
      <w:r>
        <w:rPr>
          <w:sz w:val="22"/>
        </w:rPr>
        <w:t>The data presented below represents volume-weighted indices, in US$/mmBtu, for trades done at the points indicated, and for the gas flow dates indicated.. Trades were executed on major electronic trading platforms, prior to 11:30am CST for flow the following day.  The methodology used to prepare this information is available on Gas Daily’s web site at www. ftenergyusa.com.  Data in this table is Copyright 2001 by FT Energy.</w:t>
      </w:r>
    </w:p>
    <w:p>
      <w:pPr>
        <w:pStyle w:val="Normal"/>
        <w:jc w:val="both"/>
        <w:rPr>
          <w:rFonts w:ascii="Arial" w:hAnsi="Arial" w:cs="Arial"/>
          <w:sz w:val="22"/>
        </w:rPr>
      </w:pPr>
      <w:r>
        <w:rPr>
          <w:rFonts w:cs="Arial" w:ascii="Arial" w:hAnsi="Arial"/>
          <w:sz w:val="22"/>
        </w:rPr>
      </w:r>
    </w:p>
    <w:p>
      <w:pPr>
        <w:pStyle w:val="Heading1"/>
        <w:ind w:hanging="0" w:start="0"/>
        <w:rPr/>
      </w:pPr>
      <w:r>
        <w:rPr/>
        <w:t>Trans. Date: 1/23/01</w:t>
      </w:r>
    </w:p>
    <w:p>
      <w:pPr>
        <w:pStyle w:val="Normal"/>
        <w:jc w:val="both"/>
        <w:rPr>
          <w:rFonts w:ascii="Arial" w:hAnsi="Arial" w:cs="Arial"/>
          <w:b/>
          <w:sz w:val="22"/>
        </w:rPr>
      </w:pPr>
      <w:r>
        <w:rPr>
          <w:rFonts w:cs="Arial" w:ascii="Arial" w:hAnsi="Arial"/>
          <w:b/>
          <w:sz w:val="22"/>
        </w:rPr>
        <w:t>Flow Date(s): 1/24/01</w:t>
      </w:r>
    </w:p>
    <w:p>
      <w:pPr>
        <w:pStyle w:val="Heading1"/>
        <w:tabs>
          <w:tab w:val="clear" w:pos="720"/>
          <w:tab w:val="left" w:pos="4050" w:leader="none"/>
        </w:tabs>
        <w:ind w:hanging="0" w:start="0"/>
        <w:rPr/>
      </w:pPr>
      <w:r>
        <w:rPr/>
        <w:t>Price Point</w:t>
        <w:tab/>
        <w:t>Index</w:t>
      </w:r>
    </w:p>
    <w:p>
      <w:pPr>
        <w:pStyle w:val="Normal"/>
        <w:tabs>
          <w:tab w:val="clear" w:pos="720"/>
          <w:tab w:val="left" w:pos="4140" w:leader="none"/>
        </w:tabs>
        <w:jc w:val="both"/>
        <w:rPr>
          <w:rFonts w:ascii="Arial" w:hAnsi="Arial" w:cs="Arial"/>
          <w:sz w:val="22"/>
        </w:rPr>
      </w:pPr>
      <w:r>
        <w:rPr>
          <w:rFonts w:cs="Arial" w:ascii="Arial" w:hAnsi="Arial"/>
          <w:sz w:val="22"/>
        </w:rPr>
        <w:t>El Paso (Permian)</w:t>
        <w:tab/>
        <w:t>6.875</w:t>
      </w:r>
    </w:p>
    <w:p>
      <w:pPr>
        <w:pStyle w:val="Normal"/>
        <w:tabs>
          <w:tab w:val="clear" w:pos="720"/>
          <w:tab w:val="left" w:pos="4140" w:leader="none"/>
        </w:tabs>
        <w:jc w:val="both"/>
        <w:rPr>
          <w:rFonts w:ascii="Arial" w:hAnsi="Arial" w:cs="Arial"/>
          <w:sz w:val="22"/>
        </w:rPr>
      </w:pPr>
      <w:r>
        <w:rPr>
          <w:rFonts w:cs="Arial" w:ascii="Arial" w:hAnsi="Arial"/>
          <w:sz w:val="22"/>
        </w:rPr>
        <w:t>NGPL TexOk (East)</w:t>
        <w:tab/>
        <w:t>6.913</w:t>
      </w:r>
    </w:p>
    <w:p>
      <w:pPr>
        <w:pStyle w:val="Normal"/>
        <w:tabs>
          <w:tab w:val="clear" w:pos="720"/>
          <w:tab w:val="left" w:pos="4140" w:leader="none"/>
        </w:tabs>
        <w:jc w:val="both"/>
        <w:rPr>
          <w:rFonts w:ascii="Arial" w:hAnsi="Arial" w:cs="Arial"/>
          <w:sz w:val="22"/>
        </w:rPr>
      </w:pPr>
      <w:r>
        <w:rPr>
          <w:rFonts w:cs="Arial" w:ascii="Arial" w:hAnsi="Arial"/>
          <w:sz w:val="22"/>
        </w:rPr>
        <w:t>Tennessee, Zone 0</w:t>
        <w:tab/>
        <w:t>6.817</w:t>
      </w:r>
    </w:p>
    <w:p>
      <w:pPr>
        <w:pStyle w:val="Normal"/>
        <w:tabs>
          <w:tab w:val="clear" w:pos="720"/>
          <w:tab w:val="left" w:pos="4140" w:leader="none"/>
        </w:tabs>
        <w:jc w:val="both"/>
        <w:rPr>
          <w:rFonts w:ascii="Arial" w:hAnsi="Arial" w:cs="Arial"/>
          <w:sz w:val="22"/>
        </w:rPr>
      </w:pPr>
      <w:r>
        <w:rPr>
          <w:rFonts w:cs="Arial" w:ascii="Arial" w:hAnsi="Arial"/>
          <w:sz w:val="22"/>
        </w:rPr>
        <w:t>Henry Hub</w:t>
        <w:tab/>
        <w:t>7.063</w:t>
      </w:r>
    </w:p>
    <w:p>
      <w:pPr>
        <w:pStyle w:val="Normal"/>
        <w:tabs>
          <w:tab w:val="clear" w:pos="720"/>
          <w:tab w:val="left" w:pos="4140" w:leader="none"/>
        </w:tabs>
        <w:jc w:val="both"/>
        <w:rPr>
          <w:rFonts w:ascii="Arial" w:hAnsi="Arial" w:cs="Arial"/>
          <w:sz w:val="22"/>
        </w:rPr>
      </w:pPr>
      <w:r>
        <w:rPr>
          <w:rFonts w:cs="Arial" w:ascii="Arial" w:hAnsi="Arial"/>
          <w:sz w:val="22"/>
        </w:rPr>
        <w:t>Transco, St. 65</w:t>
        <w:tab/>
        <w:t>7.055</w:t>
      </w:r>
    </w:p>
    <w:p>
      <w:pPr>
        <w:pStyle w:val="Normal"/>
        <w:tabs>
          <w:tab w:val="clear" w:pos="720"/>
          <w:tab w:val="left" w:pos="4140" w:leader="none"/>
        </w:tabs>
        <w:jc w:val="both"/>
        <w:rPr>
          <w:rFonts w:ascii="Arial" w:hAnsi="Arial" w:cs="Arial"/>
          <w:sz w:val="22"/>
        </w:rPr>
      </w:pPr>
      <w:r>
        <w:rPr>
          <w:rFonts w:cs="Arial" w:ascii="Arial" w:hAnsi="Arial"/>
          <w:sz w:val="22"/>
        </w:rPr>
        <w:t>PEPL</w:t>
        <w:tab/>
        <w:t>6.946</w:t>
      </w:r>
    </w:p>
    <w:p>
      <w:pPr>
        <w:pStyle w:val="Normal"/>
        <w:tabs>
          <w:tab w:val="clear" w:pos="720"/>
          <w:tab w:val="left" w:pos="4140" w:leader="none"/>
        </w:tabs>
        <w:jc w:val="both"/>
        <w:rPr>
          <w:rFonts w:ascii="Arial" w:hAnsi="Arial" w:cs="Arial"/>
          <w:sz w:val="22"/>
        </w:rPr>
      </w:pPr>
      <w:r>
        <w:rPr>
          <w:rFonts w:cs="Arial" w:ascii="Arial" w:hAnsi="Arial"/>
          <w:sz w:val="22"/>
        </w:rPr>
        <w:t>El Paso, non-Bondad</w:t>
        <w:tab/>
        <w:t>6.888</w:t>
      </w:r>
    </w:p>
    <w:p>
      <w:pPr>
        <w:pStyle w:val="Normal"/>
        <w:tabs>
          <w:tab w:val="clear" w:pos="720"/>
          <w:tab w:val="left" w:pos="4140" w:leader="none"/>
        </w:tabs>
        <w:jc w:val="both"/>
        <w:rPr>
          <w:rFonts w:ascii="Arial" w:hAnsi="Arial" w:cs="Arial"/>
          <w:sz w:val="22"/>
        </w:rPr>
      </w:pPr>
      <w:r>
        <w:rPr>
          <w:rFonts w:cs="Arial" w:ascii="Arial" w:hAnsi="Arial"/>
          <w:sz w:val="22"/>
        </w:rPr>
        <w:t>Kern River/Opal plant</w:t>
        <w:tab/>
        <w:t>6.876</w:t>
      </w:r>
    </w:p>
    <w:p>
      <w:pPr>
        <w:pStyle w:val="Normal"/>
        <w:tabs>
          <w:tab w:val="clear" w:pos="720"/>
          <w:tab w:val="left" w:pos="4140" w:leader="none"/>
        </w:tabs>
        <w:jc w:val="both"/>
        <w:rPr>
          <w:rFonts w:ascii="Arial" w:hAnsi="Arial" w:cs="Arial"/>
          <w:sz w:val="22"/>
        </w:rPr>
      </w:pPr>
      <w:r>
        <w:rPr>
          <w:rFonts w:cs="Arial" w:ascii="Arial" w:hAnsi="Arial"/>
          <w:sz w:val="22"/>
        </w:rPr>
        <w:t>NW-Sumas</w:t>
        <w:tab/>
        <w:t>6.816</w:t>
      </w:r>
    </w:p>
    <w:p>
      <w:pPr>
        <w:pStyle w:val="Normal"/>
        <w:tabs>
          <w:tab w:val="clear" w:pos="720"/>
          <w:tab w:val="left" w:pos="4140" w:leader="none"/>
        </w:tabs>
        <w:jc w:val="both"/>
        <w:rPr>
          <w:rFonts w:ascii="Arial" w:hAnsi="Arial" w:cs="Arial"/>
          <w:sz w:val="22"/>
        </w:rPr>
      </w:pPr>
      <w:r>
        <w:rPr>
          <w:rFonts w:cs="Arial" w:ascii="Arial" w:hAnsi="Arial"/>
          <w:sz w:val="22"/>
        </w:rPr>
        <w:t>Columbia, App. Pool</w:t>
        <w:tab/>
        <w:t>7.271</w:t>
      </w:r>
    </w:p>
    <w:p>
      <w:pPr>
        <w:pStyle w:val="Normal"/>
        <w:tabs>
          <w:tab w:val="clear" w:pos="720"/>
          <w:tab w:val="left" w:pos="4140" w:leader="none"/>
        </w:tabs>
        <w:jc w:val="both"/>
        <w:rPr>
          <w:rFonts w:ascii="Arial" w:hAnsi="Arial" w:cs="Arial"/>
          <w:sz w:val="22"/>
        </w:rPr>
      </w:pPr>
      <w:r>
        <w:rPr>
          <w:rFonts w:cs="Arial" w:ascii="Arial" w:hAnsi="Arial"/>
          <w:sz w:val="22"/>
        </w:rPr>
        <w:t>Northern (Demarc.)</w:t>
        <w:tab/>
        <w:t>7.127</w:t>
      </w:r>
    </w:p>
    <w:p>
      <w:pPr>
        <w:pStyle w:val="Normal"/>
        <w:tabs>
          <w:tab w:val="clear" w:pos="720"/>
          <w:tab w:val="left" w:pos="4050" w:leader="none"/>
        </w:tabs>
        <w:ind w:end="-61"/>
        <w:jc w:val="both"/>
        <w:rPr>
          <w:rFonts w:ascii="Arial" w:hAnsi="Arial" w:cs="Arial"/>
          <w:sz w:val="22"/>
        </w:rPr>
      </w:pPr>
      <w:r>
        <w:rPr>
          <w:rFonts w:cs="Arial" w:ascii="Arial" w:hAnsi="Arial"/>
          <w:sz w:val="22"/>
        </w:rPr>
        <w:t>SoCal Gas, large pkgs</w:t>
        <w:tab/>
        <w:t>16.066</w:t>
      </w:r>
    </w:p>
    <w:p>
      <w:pPr>
        <w:pStyle w:val="Normal"/>
        <w:tabs>
          <w:tab w:val="clear" w:pos="720"/>
          <w:tab w:val="left" w:pos="4140" w:leader="none"/>
        </w:tabs>
        <w:jc w:val="both"/>
        <w:rPr>
          <w:rFonts w:ascii="Arial" w:hAnsi="Arial" w:cs="Arial"/>
          <w:sz w:val="22"/>
        </w:rPr>
      </w:pPr>
      <w:r>
        <w:rPr>
          <w:rFonts w:cs="Arial" w:ascii="Arial" w:hAnsi="Arial"/>
          <w:sz w:val="22"/>
        </w:rPr>
        <w:t>Chicago, LDCs-large end-users</w:t>
        <w:tab/>
        <w:t>7.218</w:t>
      </w:r>
    </w:p>
    <w:p>
      <w:pPr>
        <w:pStyle w:val="Normal"/>
        <w:tabs>
          <w:tab w:val="clear" w:pos="720"/>
          <w:tab w:val="left" w:pos="4140" w:leader="none"/>
        </w:tabs>
        <w:jc w:val="both"/>
        <w:rPr>
          <w:rFonts w:ascii="Arial" w:hAnsi="Arial" w:cs="Arial"/>
          <w:sz w:val="22"/>
        </w:rPr>
      </w:pPr>
      <w:r>
        <w:rPr>
          <w:rFonts w:cs="Arial" w:ascii="Arial" w:hAnsi="Arial"/>
          <w:sz w:val="22"/>
        </w:rPr>
        <w:t>Transco, Zone 6 (NY)</w:t>
        <w:tab/>
        <w:t>7.620</w:t>
      </w:r>
    </w:p>
    <w:p>
      <w:pPr>
        <w:pStyle w:val="Normal"/>
        <w:tabs>
          <w:tab w:val="clear" w:pos="720"/>
          <w:tab w:val="left" w:pos="4140" w:leader="none"/>
        </w:tabs>
        <w:jc w:val="both"/>
        <w:rPr>
          <w:rFonts w:ascii="Arial" w:hAnsi="Arial" w:cs="Arial"/>
          <w:sz w:val="22"/>
        </w:rPr>
      </w:pPr>
      <w:r>
        <w:rPr>
          <w:rFonts w:cs="Arial" w:ascii="Arial" w:hAnsi="Arial"/>
          <w:sz w:val="22"/>
        </w:rPr>
      </w:r>
    </w:p>
    <w:p>
      <w:pPr>
        <w:pStyle w:val="BodyText2"/>
        <w:rPr/>
      </w:pPr>
      <w:r>
        <w:rPr/>
        <w:t>The data presented below represents volume-weighted indices, for trades that were executed on major electronic trading platforms, prior to 4:00 pm CST for flow the same day.</w:t>
      </w:r>
    </w:p>
    <w:p>
      <w:pPr>
        <w:pStyle w:val="Normal"/>
        <w:tabs>
          <w:tab w:val="clear" w:pos="720"/>
          <w:tab w:val="left" w:pos="4140" w:leader="none"/>
        </w:tabs>
        <w:jc w:val="both"/>
        <w:rPr>
          <w:rFonts w:ascii="Arial" w:hAnsi="Arial" w:cs="Arial"/>
          <w:sz w:val="22"/>
        </w:rPr>
      </w:pPr>
      <w:r>
        <w:rPr>
          <w:rFonts w:cs="Arial" w:ascii="Arial" w:hAnsi="Arial"/>
          <w:sz w:val="22"/>
        </w:rPr>
      </w:r>
    </w:p>
    <w:p>
      <w:pPr>
        <w:pStyle w:val="Heading1"/>
        <w:ind w:hanging="0" w:start="0"/>
        <w:rPr/>
      </w:pPr>
      <w:r>
        <w:rPr/>
        <w:t>Trans. Date: 1/23/01</w:t>
      </w:r>
    </w:p>
    <w:p>
      <w:pPr>
        <w:pStyle w:val="Normal"/>
        <w:jc w:val="both"/>
        <w:rPr>
          <w:rFonts w:ascii="Arial" w:hAnsi="Arial" w:cs="Arial"/>
          <w:b/>
          <w:sz w:val="22"/>
        </w:rPr>
      </w:pPr>
      <w:r>
        <w:rPr>
          <w:rFonts w:cs="Arial" w:ascii="Arial" w:hAnsi="Arial"/>
          <w:b/>
          <w:sz w:val="22"/>
        </w:rPr>
        <w:t>Flow Date(s): 1/23/01</w:t>
      </w:r>
    </w:p>
    <w:p>
      <w:pPr>
        <w:pStyle w:val="Heading1"/>
        <w:tabs>
          <w:tab w:val="clear" w:pos="720"/>
          <w:tab w:val="left" w:pos="4050" w:leader="none"/>
        </w:tabs>
        <w:ind w:hanging="0" w:start="0"/>
        <w:rPr/>
      </w:pPr>
      <w:r>
        <w:rPr/>
        <w:t>Price Point</w:t>
        <w:tab/>
        <w:t>Index</w:t>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3960" w:leader="none"/>
        </w:tabs>
        <w:jc w:val="both"/>
        <w:rPr/>
      </w:pPr>
      <w:r>
        <w:rPr>
          <w:rFonts w:cs="Arial" w:ascii="Arial" w:hAnsi="Arial"/>
          <w:sz w:val="22"/>
        </w:rPr>
        <w:t xml:space="preserve">NOVA (AECO-C, NIT) </w:t>
      </w:r>
      <w:r>
        <w:rPr>
          <w:rFonts w:cs="Arial" w:ascii="Arial" w:hAnsi="Arial"/>
          <w:sz w:val="16"/>
        </w:rPr>
        <w:t>CAD$/GJ</w:t>
      </w:r>
      <w:r>
        <w:rPr>
          <w:rFonts w:cs="Arial" w:ascii="Arial" w:hAnsi="Arial"/>
          <w:sz w:val="22"/>
        </w:rPr>
        <w:tab/>
        <w:t>C9.851</w:t>
      </w:r>
    </w:p>
    <w:p>
      <w:pPr>
        <w:pStyle w:val="Normal"/>
        <w:tabs>
          <w:tab w:val="clear" w:pos="720"/>
          <w:tab w:val="left" w:pos="4140" w:leader="none"/>
        </w:tabs>
        <w:jc w:val="both"/>
        <w:rPr/>
      </w:pPr>
      <w:r>
        <w:rPr>
          <w:rFonts w:cs="Arial" w:ascii="Arial" w:hAnsi="Arial"/>
          <w:sz w:val="22"/>
        </w:rPr>
        <w:t>NOVA (AECO-C, NIT)</w:t>
      </w:r>
      <w:r>
        <w:rPr/>
        <w:t xml:space="preserve"> </w:t>
      </w:r>
      <w:r>
        <w:rPr>
          <w:rFonts w:cs="Arial" w:ascii="Arial" w:hAnsi="Arial"/>
          <w:sz w:val="16"/>
        </w:rPr>
        <w:t>USD$/mmBtu*</w:t>
      </w:r>
      <w:r>
        <w:rPr>
          <w:rFonts w:cs="Arial" w:ascii="Arial" w:hAnsi="Arial"/>
          <w:sz w:val="22"/>
        </w:rPr>
        <w:tab/>
        <w:t>6.929</w:t>
      </w:r>
    </w:p>
    <w:p>
      <w:pPr>
        <w:pStyle w:val="Normal"/>
        <w:tabs>
          <w:tab w:val="clear" w:pos="720"/>
          <w:tab w:val="left" w:pos="4140" w:leader="none"/>
        </w:tabs>
        <w:jc w:val="both"/>
        <w:rPr>
          <w:rFonts w:ascii="Arial" w:hAnsi="Arial" w:cs="Arial"/>
          <w:sz w:val="22"/>
        </w:rPr>
      </w:pPr>
      <w:r>
        <w:rPr>
          <w:rFonts w:cs="Arial" w:ascii="Arial" w:hAnsi="Arial"/>
          <w:sz w:val="22"/>
        </w:rPr>
      </w:r>
    </w:p>
    <w:p>
      <w:pPr>
        <w:pStyle w:val="BodyText"/>
        <w:tabs>
          <w:tab w:val="clear" w:pos="720"/>
          <w:tab w:val="left" w:pos="4140" w:leader="none"/>
        </w:tabs>
        <w:rPr>
          <w:sz w:val="16"/>
        </w:rPr>
      </w:pPr>
      <w:r>
        <w:rPr>
          <w:sz w:val="16"/>
        </w:rPr>
        <w:t>*USD/CAD exchange rate used is the Bank of Canada noon-day rate for the same day as the flow date.</w:t>
      </w:r>
    </w:p>
    <w:p>
      <w:pPr>
        <w:pStyle w:val="Normal"/>
        <w:tabs>
          <w:tab w:val="clear" w:pos="720"/>
          <w:tab w:val="left" w:pos="4140" w:leader="none"/>
        </w:tabs>
        <w:jc w:val="both"/>
        <w:rPr>
          <w:rFonts w:ascii="Arial" w:hAnsi="Arial" w:cs="Arial"/>
          <w:sz w:val="22"/>
          <w:lang w:val="en-CA"/>
        </w:rPr>
      </w:pPr>
      <w:r>
        <w:rPr>
          <w:rFonts w:cs="Arial" w:ascii="Arial" w:hAnsi="Arial"/>
          <w:sz w:val="22"/>
          <w:lang w:val="en-CA"/>
        </w:rPr>
      </w:r>
      <w:r>
        <mc:AlternateContent>
          <mc:Choice Requires="wps">
            <w:drawing>
              <wp:anchor behindDoc="0" distT="0" distB="0" distL="114935" distR="114935" simplePos="0" locked="0" layoutInCell="1" allowOverlap="1" relativeHeight="3">
                <wp:simplePos x="0" y="0"/>
                <wp:positionH relativeFrom="column">
                  <wp:posOffset>-671830</wp:posOffset>
                </wp:positionH>
                <wp:positionV relativeFrom="paragraph">
                  <wp:posOffset>145415</wp:posOffset>
                </wp:positionV>
                <wp:extent cx="4489450" cy="648970"/>
                <wp:effectExtent l="0" t="0" r="0" b="0"/>
                <wp:wrapNone/>
                <wp:docPr id="1" name="Frame1"/>
                <a:graphic xmlns:a="http://schemas.openxmlformats.org/drawingml/2006/main">
                  <a:graphicData uri="http://schemas.microsoft.com/office/word/2010/wordprocessingShape">
                    <wps:wsp>
                      <wps:cNvSpPr txBox="1"/>
                      <wps:spPr>
                        <a:xfrm>
                          <a:off x="0" y="0"/>
                          <a:ext cx="4489450" cy="648970"/>
                        </a:xfrm>
                        <a:prstGeom prst="rect"/>
                        <a:solidFill>
                          <a:srgbClr val="CCFFCC">
                            <a:alpha val="50000"/>
                          </a:srgbClr>
                        </a:solidFill>
                        <a:ln w="9525">
                          <a:solidFill>
                            <a:srgbClr val="000000"/>
                          </a:solidFill>
                        </a:ln>
                      </wps:spPr>
                      <wps:txbx>
                        <w:txbxContent>
                          <w:p>
                            <w:pPr>
                              <w:pStyle w:val="Normal"/>
                              <w:rPr/>
                            </w:pPr>
                            <w:r>
                              <w:rPr>
                                <w:rFonts w:cs="Arial" w:ascii="Arial" w:hAnsi="Arial"/>
                                <w:b/>
                              </w:rPr>
                              <w:t>Please Note:</w:t>
                            </w:r>
                            <w:r>
                              <w:rPr>
                                <w:rFonts w:cs="Arial" w:ascii="Arial" w:hAnsi="Arial"/>
                              </w:rPr>
                              <w:t xml:space="preserve"> AECO daily will also need the following:</w:t>
                            </w:r>
                          </w:p>
                          <w:p>
                            <w:pPr>
                              <w:pStyle w:val="Normal"/>
                              <w:rPr/>
                            </w:pPr>
                            <w:r>
                              <w:rPr>
                                <w:rFonts w:cs="Arial" w:ascii="Arial" w:hAnsi="Arial"/>
                              </w:rPr>
                              <w:t xml:space="preserve">- Friday, Saturday, Sunday Index  (traded Friday), </w:t>
                            </w:r>
                            <w:r>
                              <w:rPr>
                                <w:rFonts w:cs="Arial" w:ascii="Arial" w:hAnsi="Arial"/>
                                <w:b/>
                              </w:rPr>
                              <w:t>not</w:t>
                            </w:r>
                            <w:r>
                              <w:rPr>
                                <w:rFonts w:cs="Arial" w:ascii="Arial" w:hAnsi="Arial"/>
                              </w:rPr>
                              <w:t xml:space="preserve"> the US-style Saturday, Sunday, Monday index.</w:t>
                            </w:r>
                          </w:p>
                          <w:p>
                            <w:pPr>
                              <w:pStyle w:val="Normal"/>
                              <w:rPr>
                                <w:rFonts w:ascii="Arial" w:hAnsi="Arial" w:cs="Arial"/>
                              </w:rPr>
                            </w:pPr>
                            <w:r>
                              <w:rPr>
                                <w:rFonts w:cs="Arial" w:ascii="Arial" w:hAnsi="Arial"/>
                              </w:rPr>
                            </w:r>
                          </w:p>
                        </w:txbxContent>
                      </wps:txbx>
                      <wps:bodyPr anchor="t" lIns="91440" tIns="45720" rIns="91440" bIns="45720">
                        <a:noAutofit/>
                      </wps:bodyPr>
                    </wps:wsp>
                  </a:graphicData>
                </a:graphic>
              </wp:anchor>
            </w:drawing>
          </mc:Choice>
          <mc:Fallback>
            <w:pict>
              <v:rect fillcolor="#CCFFCC" strokecolor="#000000" strokeweight="0pt" style="position:absolute;rotation:-0;width:353.5pt;height:51.1pt;mso-wrap-distance-left:9.05pt;mso-wrap-distance-right:9.05pt;mso-wrap-distance-top:0pt;mso-wrap-distance-bottom:0pt;margin-top:11.45pt;mso-position-vertical-relative:text;margin-left:-52.9pt;mso-position-horizontal-relative:text">
                <v:fill opacity="32767.5f"/>
                <v:textbox>
                  <w:txbxContent>
                    <w:p>
                      <w:pPr>
                        <w:pStyle w:val="Normal"/>
                        <w:rPr/>
                      </w:pPr>
                      <w:r>
                        <w:rPr>
                          <w:rFonts w:cs="Arial" w:ascii="Arial" w:hAnsi="Arial"/>
                          <w:b/>
                        </w:rPr>
                        <w:t>Please Note:</w:t>
                      </w:r>
                      <w:r>
                        <w:rPr>
                          <w:rFonts w:cs="Arial" w:ascii="Arial" w:hAnsi="Arial"/>
                        </w:rPr>
                        <w:t xml:space="preserve"> AECO daily will also need the following:</w:t>
                      </w:r>
                    </w:p>
                    <w:p>
                      <w:pPr>
                        <w:pStyle w:val="Normal"/>
                        <w:rPr/>
                      </w:pPr>
                      <w:r>
                        <w:rPr>
                          <w:rFonts w:cs="Arial" w:ascii="Arial" w:hAnsi="Arial"/>
                        </w:rPr>
                        <w:t xml:space="preserve">- Friday, Saturday, Sunday Index  (traded Friday), </w:t>
                      </w:r>
                      <w:r>
                        <w:rPr>
                          <w:rFonts w:cs="Arial" w:ascii="Arial" w:hAnsi="Arial"/>
                          <w:b/>
                        </w:rPr>
                        <w:t>not</w:t>
                      </w:r>
                      <w:r>
                        <w:rPr>
                          <w:rFonts w:cs="Arial" w:ascii="Arial" w:hAnsi="Arial"/>
                        </w:rPr>
                        <w:t xml:space="preserve"> the US-style Saturday, Sunday, Monday index.</w:t>
                      </w:r>
                    </w:p>
                    <w:p>
                      <w:pPr>
                        <w:pStyle w:val="Normal"/>
                        <w:rPr>
                          <w:rFonts w:ascii="Arial" w:hAnsi="Arial" w:cs="Arial"/>
                        </w:rPr>
                      </w:pPr>
                      <w:r>
                        <w:rPr>
                          <w:rFonts w:cs="Arial" w:ascii="Arial" w:hAnsi="Arial"/>
                        </w:rPr>
                      </w:r>
                    </w:p>
                  </w:txbxContent>
                </v:textbox>
                <w10:wrap type="none"/>
              </v:rect>
            </w:pict>
          </mc:Fallback>
        </mc:AlternateContent>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r>
        <w:br w:type="page"/>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b/>
          <w:sz w:val="36"/>
          <w:lang w:val="en-CA"/>
        </w:rPr>
      </w:pPr>
      <w:r>
        <w:rPr>
          <w:rFonts w:cs="Arial" w:ascii="Arial" w:hAnsi="Arial"/>
          <w:b/>
          <w:sz w:val="36"/>
          <w:lang w:val="en-CA"/>
        </w:rPr>
        <mc:AlternateContent>
          <mc:Choice Requires="wps">
            <w:drawing>
              <wp:anchor behindDoc="0" distT="0" distB="0" distL="114935" distR="114935" simplePos="0" locked="0" layoutInCell="1" allowOverlap="1" relativeHeight="2">
                <wp:simplePos x="0" y="0"/>
                <wp:positionH relativeFrom="column">
                  <wp:posOffset>-301625</wp:posOffset>
                </wp:positionH>
                <wp:positionV relativeFrom="paragraph">
                  <wp:posOffset>56515</wp:posOffset>
                </wp:positionV>
                <wp:extent cx="4572000" cy="0"/>
                <wp:effectExtent l="0" t="5080" r="0" b="5080"/>
                <wp:wrapNone/>
                <wp:docPr id="2"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75pt,4.45pt" to="336.2pt,4.45pt" stroked="t" o:allowincell="f" style="position:absolute">
                <v:stroke color="black" weight="9360" joinstyle="miter" endcap="flat"/>
                <v:fill o:detectmouseclick="t" on="false"/>
                <w10:wrap type="none"/>
              </v:line>
            </w:pict>
          </mc:Fallback>
        </mc:AlternateContent>
      </w:r>
    </w:p>
    <w:p>
      <w:pPr>
        <w:pStyle w:val="Normal"/>
        <w:tabs>
          <w:tab w:val="clear" w:pos="720"/>
          <w:tab w:val="left" w:pos="4140" w:leader="none"/>
        </w:tabs>
        <w:ind w:start="-450" w:end="0"/>
        <w:jc w:val="both"/>
        <w:rPr>
          <w:rFonts w:ascii="Arial" w:hAnsi="Arial" w:cs="Arial"/>
          <w:b/>
          <w:sz w:val="36"/>
        </w:rPr>
      </w:pPr>
      <w:r>
        <w:rPr>
          <w:rFonts w:cs="Arial" w:ascii="Arial" w:hAnsi="Arial"/>
          <w:b/>
          <w:sz w:val="36"/>
        </w:rPr>
        <w:t>Monthly Contract</w:t>
      </w:r>
    </w:p>
    <w:p>
      <w:pPr>
        <w:pStyle w:val="Normal"/>
        <w:tabs>
          <w:tab w:val="clear" w:pos="720"/>
          <w:tab w:val="left" w:pos="4140" w:leader="none"/>
        </w:tabs>
        <w:ind w:start="-450" w:end="0"/>
        <w:jc w:val="both"/>
        <w:rPr>
          <w:rFonts w:ascii="Arial" w:hAnsi="Arial" w:cs="Arial"/>
          <w:sz w:val="22"/>
        </w:rPr>
      </w:pPr>
      <w:r>
        <w:rPr>
          <w:rFonts w:cs="Arial" w:ascii="Arial" w:hAnsi="Arial"/>
          <w:b/>
          <w:sz w:val="36"/>
        </w:rPr>
        <w:t>Index</w:t>
      </w:r>
    </w:p>
    <w:p>
      <w:pPr>
        <w:pStyle w:val="Normal"/>
        <w:tabs>
          <w:tab w:val="clear" w:pos="720"/>
          <w:tab w:val="left" w:pos="4140" w:leader="none"/>
        </w:tabs>
        <w:ind w:start="-450" w:end="0"/>
        <w:jc w:val="both"/>
        <w:rPr>
          <w:rFonts w:ascii="Arial" w:hAnsi="Arial" w:cs="Arial"/>
          <w:sz w:val="22"/>
        </w:rPr>
      </w:pPr>
      <w:r>
        <w:rPr>
          <w:rFonts w:cs="Arial" w:ascii="Arial" w:hAnsi="Arial"/>
          <w:sz w:val="22"/>
        </w:rPr>
      </w:r>
    </w:p>
    <w:p>
      <w:pPr>
        <w:pStyle w:val="Heading3"/>
        <w:ind w:hanging="0" w:start="-450" w:end="0"/>
        <w:rPr/>
      </w:pPr>
      <w:r>
        <w:rPr/>
        <w:t>Canadian Gas</w:t>
      </w:r>
    </w:p>
    <w:p>
      <w:pPr>
        <w:pStyle w:val="Normal"/>
        <w:tabs>
          <w:tab w:val="clear" w:pos="720"/>
          <w:tab w:val="left" w:pos="2520" w:leader="none"/>
          <w:tab w:val="left" w:pos="3420" w:leader="none"/>
          <w:tab w:val="left" w:pos="4140" w:leader="none"/>
        </w:tabs>
        <w:ind w:start="-450" w:end="0"/>
        <w:jc w:val="both"/>
        <w:rPr>
          <w:rFonts w:ascii="Arial" w:hAnsi="Arial" w:cs="Arial"/>
          <w:sz w:val="18"/>
        </w:rPr>
      </w:pPr>
      <w:r>
        <w:rPr>
          <w:rFonts w:cs="Arial" w:ascii="Arial" w:hAnsi="Arial"/>
          <w:sz w:val="18"/>
        </w:rPr>
        <w:t>Empire</w:t>
        <w:tab/>
        <w:t>6.20-56</w:t>
        <w:tab/>
        <w:t>40</w:t>
        <w:tab/>
        <w:t>6.38</w:t>
      </w:r>
    </w:p>
    <w:p>
      <w:pPr>
        <w:pStyle w:val="Normal"/>
        <w:tabs>
          <w:tab w:val="clear" w:pos="720"/>
          <w:tab w:val="left" w:pos="2520" w:leader="none"/>
          <w:tab w:val="left" w:pos="3420" w:leader="none"/>
          <w:tab w:val="left" w:pos="4140" w:leader="none"/>
        </w:tabs>
        <w:ind w:start="-450" w:end="0"/>
        <w:jc w:val="both"/>
        <w:rPr>
          <w:rFonts w:ascii="Arial" w:hAnsi="Arial" w:cs="Arial"/>
          <w:sz w:val="18"/>
        </w:rPr>
      </w:pPr>
      <w:r>
        <w:rPr>
          <w:rFonts w:cs="Arial" w:ascii="Arial" w:hAnsi="Arial"/>
          <w:sz w:val="18"/>
        </w:rPr>
        <w:t>Iroquois</w:t>
        <w:tab/>
        <w:t>6.01-40</w:t>
        <w:tab/>
        <w:t>89</w:t>
        <w:tab/>
        <w:t>6.34</w:t>
      </w:r>
    </w:p>
    <w:p>
      <w:pPr>
        <w:pStyle w:val="Normal"/>
        <w:tabs>
          <w:tab w:val="clear" w:pos="720"/>
          <w:tab w:val="left" w:pos="2520" w:leader="none"/>
          <w:tab w:val="left" w:pos="3420" w:leader="none"/>
          <w:tab w:val="left" w:pos="4140" w:leader="none"/>
        </w:tabs>
        <w:ind w:start="-450" w:end="0"/>
        <w:jc w:val="both"/>
        <w:rPr>
          <w:rFonts w:ascii="Arial" w:hAnsi="Arial" w:cs="Arial"/>
          <w:sz w:val="18"/>
        </w:rPr>
      </w:pPr>
      <w:r>
        <w:rPr>
          <w:rFonts w:cs="Arial" w:ascii="Arial" w:hAnsi="Arial"/>
          <w:sz w:val="18"/>
        </w:rPr>
        <w:t>Niagara (NFG,Tenn)</w:t>
        <w:tab/>
        <w:t>6.23-77</w:t>
        <w:tab/>
        <w:t>324</w:t>
        <w:tab/>
        <w:t>6.36</w:t>
      </w:r>
    </w:p>
    <w:p>
      <w:pPr>
        <w:pStyle w:val="Normal"/>
        <w:tabs>
          <w:tab w:val="clear" w:pos="720"/>
          <w:tab w:val="left" w:pos="2160" w:leader="none"/>
          <w:tab w:val="left" w:pos="3420" w:leader="none"/>
          <w:tab w:val="left" w:pos="4140" w:leader="none"/>
        </w:tabs>
        <w:ind w:start="-450" w:end="0"/>
        <w:jc w:val="both"/>
        <w:rPr>
          <w:rFonts w:ascii="Arial" w:hAnsi="Arial" w:cs="Arial"/>
          <w:sz w:val="18"/>
        </w:rPr>
      </w:pPr>
      <w:r>
        <w:rPr>
          <w:rFonts w:cs="Arial" w:ascii="Arial" w:hAnsi="Arial"/>
          <w:sz w:val="18"/>
        </w:rPr>
        <w:t>NW Sumas</w:t>
        <w:tab/>
        <w:t>10.50-16.50</w:t>
        <w:tab/>
        <w:t>366</w:t>
        <w:tab/>
        <w:t>13.91</w:t>
      </w:r>
    </w:p>
    <w:p>
      <w:pPr>
        <w:pStyle w:val="Normal"/>
        <w:tabs>
          <w:tab w:val="clear" w:pos="720"/>
          <w:tab w:val="left" w:pos="2520" w:leader="none"/>
          <w:tab w:val="left" w:pos="3420" w:leader="none"/>
          <w:tab w:val="left" w:pos="4140" w:leader="none"/>
        </w:tabs>
        <w:ind w:start="-450" w:end="0"/>
        <w:jc w:val="both"/>
        <w:rPr>
          <w:rFonts w:ascii="Arial" w:hAnsi="Arial" w:cs="Arial"/>
          <w:sz w:val="18"/>
        </w:rPr>
      </w:pPr>
      <w:r>
        <w:rPr>
          <w:rFonts w:cs="Arial" w:ascii="Arial" w:hAnsi="Arial"/>
          <w:sz w:val="18"/>
        </w:rPr>
        <w:t>Dawn, Ont.</w:t>
        <w:tab/>
        <w:t>6.14-66</w:t>
        <w:tab/>
        <w:t>714</w:t>
        <w:tab/>
        <w:t>6.26</w:t>
      </w:r>
    </w:p>
    <w:p>
      <w:pPr>
        <w:pStyle w:val="Normal"/>
        <w:tabs>
          <w:tab w:val="clear" w:pos="720"/>
          <w:tab w:val="left" w:pos="2520" w:leader="none"/>
          <w:tab w:val="left" w:pos="3420" w:leader="none"/>
          <w:tab w:val="left" w:pos="4140" w:leader="none"/>
        </w:tabs>
        <w:ind w:start="-450" w:end="0"/>
        <w:jc w:val="both"/>
        <w:rPr>
          <w:rFonts w:ascii="Arial" w:hAnsi="Arial" w:cs="Arial"/>
          <w:sz w:val="18"/>
        </w:rPr>
      </w:pPr>
      <w:r>
        <w:rPr>
          <w:rFonts w:cs="Arial" w:ascii="Arial" w:hAnsi="Arial"/>
          <w:sz w:val="18"/>
        </w:rPr>
        <w:t>PG&amp;E-GTNW (Kingsgate)</w:t>
        <w:tab/>
        <w:t>14.31-33</w:t>
        <w:tab/>
        <w:t>10</w:t>
        <w:tab/>
        <w:t>14.32</w:t>
      </w:r>
    </w:p>
    <w:p>
      <w:pPr>
        <w:pStyle w:val="Normal"/>
        <w:tabs>
          <w:tab w:val="clear" w:pos="720"/>
          <w:tab w:val="left" w:pos="2340" w:leader="none"/>
          <w:tab w:val="left" w:pos="3420" w:leader="none"/>
          <w:tab w:val="left" w:pos="4140" w:leader="none"/>
        </w:tabs>
        <w:ind w:start="-450" w:end="0"/>
        <w:jc w:val="both"/>
        <w:rPr>
          <w:rFonts w:ascii="Arial" w:hAnsi="Arial" w:cs="Arial"/>
          <w:sz w:val="18"/>
        </w:rPr>
      </w:pPr>
      <w:r>
        <w:rPr>
          <w:rFonts w:cs="Arial" w:ascii="Arial" w:hAnsi="Arial"/>
          <w:sz w:val="18"/>
        </w:rPr>
        <w:t>Westcoast, St 2*</w:t>
        <w:tab/>
        <w:t>C8.60-9.20</w:t>
        <w:tab/>
        <w:t>44</w:t>
        <w:tab/>
        <w:t>C8.99</w:t>
      </w:r>
    </w:p>
    <w:p>
      <w:pPr>
        <w:pStyle w:val="Normal"/>
        <w:tabs>
          <w:tab w:val="clear" w:pos="720"/>
          <w:tab w:val="left" w:pos="2340" w:leader="none"/>
          <w:tab w:val="left" w:pos="3420" w:leader="none"/>
          <w:tab w:val="left" w:pos="4140" w:leader="none"/>
        </w:tabs>
        <w:ind w:start="-450" w:end="0"/>
        <w:jc w:val="both"/>
        <w:rPr>
          <w:rFonts w:ascii="Arial" w:hAnsi="Arial" w:cs="Arial"/>
          <w:sz w:val="18"/>
        </w:rPr>
      </w:pPr>
      <w:r>
        <w:rPr>
          <w:rFonts w:cs="Arial" w:ascii="Arial" w:hAnsi="Arial"/>
          <w:sz w:val="18"/>
        </w:rPr>
      </w:r>
    </w:p>
    <w:p>
      <w:pPr>
        <w:pStyle w:val="Normal"/>
        <w:tabs>
          <w:tab w:val="clear" w:pos="720"/>
          <w:tab w:val="left" w:pos="2340" w:leader="none"/>
          <w:tab w:val="left" w:pos="3420" w:leader="none"/>
          <w:tab w:val="left" w:pos="4140" w:leader="none"/>
        </w:tabs>
        <w:ind w:start="-450" w:end="0"/>
        <w:jc w:val="both"/>
        <w:rPr>
          <w:rFonts w:ascii="Arial" w:hAnsi="Arial" w:cs="Arial"/>
          <w:b/>
          <w:sz w:val="18"/>
        </w:rPr>
      </w:pPr>
      <w:r>
        <w:rPr>
          <w:rFonts w:cs="Arial" w:ascii="Arial" w:hAnsi="Arial"/>
          <w:b/>
          <w:sz w:val="18"/>
        </w:rPr>
      </w:r>
    </w:p>
    <w:p>
      <w:pPr>
        <w:pStyle w:val="Normal"/>
        <w:tabs>
          <w:tab w:val="clear" w:pos="720"/>
          <w:tab w:val="left" w:pos="2340" w:leader="none"/>
          <w:tab w:val="left" w:pos="3240" w:leader="none"/>
          <w:tab w:val="left" w:pos="4050" w:leader="none"/>
        </w:tabs>
        <w:ind w:start="-450" w:end="0"/>
        <w:jc w:val="both"/>
        <w:rPr/>
      </w:pPr>
      <w:r>
        <w:rPr>
          <w:rFonts w:cs="Arial" w:ascii="Arial" w:hAnsi="Arial"/>
          <w:b/>
        </w:rPr>
        <w:tab/>
      </w:r>
      <w:r>
        <w:rPr>
          <w:rFonts w:cs="Arial" w:ascii="Arial" w:hAnsi="Arial"/>
          <w:b/>
          <w:sz w:val="16"/>
        </w:rPr>
        <w:t>Jan. 00</w:t>
        <w:tab/>
        <w:t>Volume</w:t>
        <w:tab/>
        <w:t>Monthly</w:t>
      </w:r>
    </w:p>
    <w:p>
      <w:pPr>
        <w:pStyle w:val="Heading4"/>
        <w:tabs>
          <w:tab w:val="clear" w:pos="3420"/>
          <w:tab w:val="clear" w:pos="4140"/>
          <w:tab w:val="left" w:pos="2340" w:leader="none"/>
          <w:tab w:val="left" w:pos="3240" w:leader="none"/>
          <w:tab w:val="left" w:pos="4050" w:leader="none"/>
        </w:tabs>
        <w:ind w:hanging="0" w:start="-450" w:end="0"/>
        <w:rPr/>
      </w:pPr>
      <w:r>
        <w:rPr/>
        <w:tab/>
        <w:t>Monthly</w:t>
        <w:tab/>
        <w:t xml:space="preserve">   For</w:t>
        <w:tab/>
        <w:t xml:space="preserve">  Index</w:t>
      </w:r>
    </w:p>
    <w:p>
      <w:pPr>
        <w:pStyle w:val="Heading4"/>
        <w:tabs>
          <w:tab w:val="left" w:pos="2340" w:leader="none"/>
          <w:tab w:val="left" w:pos="3240" w:leader="none"/>
          <w:tab w:val="left" w:pos="3420" w:leader="none"/>
          <w:tab w:val="left" w:pos="4140" w:leader="none"/>
        </w:tabs>
        <w:ind w:hanging="0" w:start="-450" w:end="0"/>
        <w:rPr/>
      </w:pPr>
      <w:r>
        <w:rPr/>
        <w:tab/>
        <w:t>Low-high</w:t>
        <w:tab/>
        <w:t xml:space="preserve"> Month</w:t>
        <w:tab/>
        <w:t xml:space="preserve"> Avg</w:t>
      </w:r>
    </w:p>
    <w:p>
      <w:pPr>
        <w:pStyle w:val="Normal"/>
        <w:tabs>
          <w:tab w:val="clear" w:pos="720"/>
          <w:tab w:val="left" w:pos="2340" w:leader="none"/>
          <w:tab w:val="left" w:pos="3420" w:leader="none"/>
          <w:tab w:val="left" w:pos="4140" w:leader="none"/>
        </w:tabs>
        <w:ind w:start="-450" w:end="0"/>
        <w:jc w:val="both"/>
        <w:rPr>
          <w:rFonts w:ascii="Arial" w:hAnsi="Arial" w:cs="Arial"/>
          <w:b/>
          <w:sz w:val="18"/>
        </w:rPr>
      </w:pPr>
      <w:r>
        <w:rPr>
          <w:rFonts w:cs="Arial" w:ascii="Arial" w:hAnsi="Arial"/>
          <w:b/>
        </w:rPr>
        <w:t>Electronic Indices</w:t>
      </w:r>
    </w:p>
    <w:p>
      <w:pPr>
        <w:pStyle w:val="Normal"/>
        <w:tabs>
          <w:tab w:val="clear" w:pos="720"/>
          <w:tab w:val="left" w:pos="2070" w:leader="none"/>
          <w:tab w:val="left" w:pos="3420" w:leader="none"/>
          <w:tab w:val="left" w:pos="3960" w:leader="none"/>
        </w:tabs>
        <w:ind w:start="-450" w:end="0"/>
        <w:jc w:val="both"/>
        <w:rPr/>
      </w:pPr>
      <w:r>
        <w:rPr>
          <w:rFonts w:cs="Arial" w:ascii="Arial" w:hAnsi="Arial"/>
          <w:sz w:val="16"/>
        </w:rPr>
        <w:t xml:space="preserve">NOVA (AECO-C,NIT) </w:t>
      </w:r>
      <w:r>
        <w:rPr>
          <w:rFonts w:cs="Arial" w:ascii="Arial" w:hAnsi="Arial"/>
          <w:sz w:val="14"/>
        </w:rPr>
        <w:t>CAD$/GJ*</w:t>
      </w:r>
      <w:r>
        <w:rPr>
          <w:rFonts w:cs="Arial" w:ascii="Arial" w:hAnsi="Arial"/>
          <w:sz w:val="16"/>
        </w:rPr>
        <w:tab/>
        <w:t>C10.50-13.80</w:t>
        <w:tab/>
        <w:t>2671</w:t>
        <w:tab/>
        <w:t>C12.05</w:t>
      </w:r>
    </w:p>
    <w:p>
      <w:pPr>
        <w:pStyle w:val="Normal"/>
        <w:tabs>
          <w:tab w:val="clear" w:pos="720"/>
          <w:tab w:val="left" w:pos="2340" w:leader="none"/>
          <w:tab w:val="left" w:pos="3420" w:leader="none"/>
          <w:tab w:val="left" w:pos="4050" w:leader="none"/>
        </w:tabs>
        <w:ind w:start="-450" w:end="0"/>
        <w:jc w:val="both"/>
        <w:rPr/>
      </w:pPr>
      <w:r>
        <w:rPr>
          <w:rFonts w:cs="Arial" w:ascii="Arial" w:hAnsi="Arial"/>
          <w:sz w:val="16"/>
        </w:rPr>
        <w:t xml:space="preserve">NOVA (AECO-C,NIT) </w:t>
      </w:r>
      <w:r>
        <w:rPr>
          <w:rFonts w:cs="Arial" w:ascii="Arial" w:hAnsi="Arial"/>
          <w:sz w:val="14"/>
        </w:rPr>
        <w:t>USD$/mmBtu*</w:t>
      </w:r>
      <w:r>
        <w:rPr>
          <w:rFonts w:cs="Arial" w:ascii="Arial" w:hAnsi="Arial"/>
          <w:sz w:val="16"/>
          <w:vertAlign w:val="superscript"/>
        </w:rPr>
        <w:t xml:space="preserve">  </w:t>
      </w:r>
      <w:r>
        <w:rPr>
          <w:rFonts w:cs="Arial" w:ascii="Arial" w:hAnsi="Arial"/>
          <w:sz w:val="16"/>
        </w:rPr>
        <w:tab/>
        <w:t>7.39-9.71</w:t>
        <w:tab/>
        <w:t>2671</w:t>
        <w:tab/>
        <w:t>8.476</w:t>
      </w:r>
    </w:p>
    <w:p>
      <w:pPr>
        <w:pStyle w:val="Normal"/>
        <w:tabs>
          <w:tab w:val="clear" w:pos="720"/>
          <w:tab w:val="left" w:pos="4140" w:leader="none"/>
        </w:tabs>
        <w:ind w:start="-450" w:end="0"/>
        <w:jc w:val="both"/>
        <w:rPr>
          <w:rFonts w:ascii="Arial" w:hAnsi="Arial" w:cs="Arial"/>
          <w:sz w:val="22"/>
        </w:rPr>
      </w:pPr>
      <w:r>
        <w:rPr>
          <w:rFonts w:cs="Arial" w:ascii="Arial" w:hAnsi="Arial"/>
          <w:sz w:val="22"/>
        </w:rPr>
      </w:r>
    </w:p>
    <w:p>
      <w:pPr>
        <w:pStyle w:val="Normal"/>
        <w:tabs>
          <w:tab w:val="clear" w:pos="720"/>
          <w:tab w:val="left" w:pos="4140" w:leader="none"/>
        </w:tabs>
        <w:ind w:start="-450" w:end="0"/>
        <w:jc w:val="both"/>
        <w:rPr>
          <w:rFonts w:ascii="Arial" w:hAnsi="Arial" w:cs="Arial"/>
          <w:sz w:val="22"/>
        </w:rPr>
      </w:pPr>
      <w:r>
        <w:rPr>
          <w:rFonts w:cs="Arial" w:ascii="Arial" w:hAnsi="Arial"/>
          <w:sz w:val="14"/>
        </w:rPr>
        <w:t>*CAD/USD exchange rate used is Bank of Canada noon-day rate on first business day of Index month</w:t>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p>
      <w:pPr>
        <w:pStyle w:val="Normal"/>
        <w:tabs>
          <w:tab w:val="clear" w:pos="720"/>
          <w:tab w:val="left" w:pos="4140" w:leader="none"/>
        </w:tabs>
        <w:jc w:val="both"/>
        <w:rPr>
          <w:rFonts w:ascii="Arial" w:hAnsi="Arial" w:cs="Arial"/>
          <w:sz w:val="22"/>
        </w:rPr>
      </w:pPr>
      <w:r>
        <w:rPr>
          <w:rFonts w:cs="Arial" w:ascii="Arial" w:hAnsi="Arial"/>
          <w:sz w:val="22"/>
        </w:rPr>
      </w:r>
    </w:p>
    <w:sectPr>
      <w:type w:val="nextPage"/>
      <w:pgSz w:w="12240" w:h="15840"/>
      <w:pgMar w:left="3787" w:right="3744" w:gutter="0" w:header="0" w:top="81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rPr>
  </w:style>
  <w:style w:type="paragraph" w:styleId="Heading2">
    <w:name w:val="heading 2"/>
    <w:basedOn w:val="Normal"/>
    <w:next w:val="Normal"/>
    <w:qFormat/>
    <w:pPr>
      <w:keepNext w:val="true"/>
      <w:numPr>
        <w:ilvl w:val="1"/>
        <w:numId w:val="1"/>
      </w:numPr>
      <w:jc w:val="both"/>
      <w:outlineLvl w:val="1"/>
    </w:pPr>
    <w:rPr>
      <w:rFonts w:ascii="Arial" w:hAnsi="Arial" w:cs="Arial"/>
      <w:b/>
      <w:sz w:val="26"/>
    </w:rPr>
  </w:style>
  <w:style w:type="paragraph" w:styleId="Heading3">
    <w:name w:val="heading 3"/>
    <w:basedOn w:val="Normal"/>
    <w:next w:val="Normal"/>
    <w:qFormat/>
    <w:pPr>
      <w:keepNext w:val="true"/>
      <w:numPr>
        <w:ilvl w:val="2"/>
        <w:numId w:val="1"/>
      </w:numPr>
      <w:tabs>
        <w:tab w:val="clear" w:pos="720"/>
        <w:tab w:val="left" w:pos="4140" w:leader="none"/>
      </w:tabs>
      <w:jc w:val="both"/>
      <w:outlineLvl w:val="2"/>
    </w:pPr>
    <w:rPr>
      <w:rFonts w:ascii="Arial" w:hAnsi="Arial" w:cs="Arial"/>
      <w:b/>
      <w:sz w:val="18"/>
    </w:rPr>
  </w:style>
  <w:style w:type="paragraph" w:styleId="Heading4">
    <w:name w:val="heading 4"/>
    <w:basedOn w:val="Normal"/>
    <w:next w:val="Normal"/>
    <w:qFormat/>
    <w:pPr>
      <w:keepNext w:val="true"/>
      <w:numPr>
        <w:ilvl w:val="3"/>
        <w:numId w:val="1"/>
      </w:numPr>
      <w:tabs>
        <w:tab w:val="clear" w:pos="720"/>
        <w:tab w:val="left" w:pos="2340" w:leader="none"/>
        <w:tab w:val="left" w:pos="3420" w:leader="none"/>
        <w:tab w:val="left" w:pos="4140" w:leader="none"/>
      </w:tabs>
      <w:jc w:val="both"/>
      <w:outlineLvl w:val="3"/>
    </w:pPr>
    <w:rPr>
      <w:rFonts w:ascii="Arial" w:hAnsi="Arial" w:cs="Arial"/>
      <w:b/>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4140" w:leader="none"/>
      </w:tabs>
      <w:jc w:val="both"/>
    </w:pPr>
    <w:rPr>
      <w:rFonts w:ascii="Arial" w:hAnsi="Arial" w:cs="Arial"/>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2001-01-30T13:06:00Z</dcterms:created>
  <dc:creator>amccull</dc:creator>
  <dc:description/>
  <dc:language>en-CA</dc:language>
  <cp:lastModifiedBy>rwatt</cp:lastModifiedBy>
  <cp:lastPrinted>2001-01-30T08:13:00Z</cp:lastPrinted>
  <dcterms:modified xsi:type="dcterms:W3CDTF">2001-01-30T13:06:00Z</dcterms:modified>
  <cp:revision>2</cp:revision>
  <dc:subject/>
  <dc:title>Electronic Trading Indices</dc:title>
</cp:coreProperties>
</file>