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dated October _____, 1999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_____ %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_________ dollars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2.2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_________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sz w:val="24"/>
        </w:rPr>
      </w:pP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Gas_Agreement4.doc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1999-10-07T18:21:00Z</dcterms:created>
  <dc:creator>gnemec</dc:creator>
  <dc:description/>
  <dc:language>en-CA</dc:language>
  <cp:lastModifiedBy>gnemec</cp:lastModifiedBy>
  <cp:lastPrinted>1999-10-07T14:38:00Z</cp:lastPrinted>
  <dcterms:modified xsi:type="dcterms:W3CDTF">1999-10-07T18:41:00Z</dcterms:modified>
  <cp:revision>3</cp:revision>
  <dc:subject/>
  <dc:title>GAS CONVERSION AGREEMENT</dc:title>
</cp:coreProperties>
</file>