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emf" ContentType="image/x-e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7650" w:leader="none"/>
        </w:tabs>
        <w:suppressAutoHyphens w:val="true"/>
        <w:jc w:val="center"/>
        <w:rPr>
          <w:sz w:val="20"/>
          <w:szCs w:val="20"/>
        </w:rPr>
      </w:pPr>
      <w:r>
        <w:rPr>
          <w:sz w:val="20"/>
          <w:szCs w:val="20"/>
        </w:rPr>
        <w:drawing>
          <wp:inline distT="0" distB="0" distL="0" distR="0">
            <wp:extent cx="1378585" cy="3575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378585" cy="357505"/>
                    </a:xfrm>
                    <a:prstGeom prst="rect">
                      <a:avLst/>
                    </a:prstGeom>
                    <a:noFill/>
                  </pic:spPr>
                </pic:pic>
              </a:graphicData>
            </a:graphic>
          </wp:inline>
        </w:drawing>
      </w:r>
    </w:p>
    <w:p>
      <w:pPr>
        <w:pStyle w:val="Normal"/>
        <w:widowControl/>
        <w:suppressAutoHyphens w:val="true"/>
        <w:jc w:val="center"/>
        <w:rPr/>
      </w:pPr>
      <w:r>
        <w:rPr/>
      </w:r>
    </w:p>
    <w:p>
      <w:pPr>
        <w:pStyle w:val="Normal"/>
        <w:widowControl/>
        <w:suppressAutoHyphens w:val="true"/>
        <w:jc w:val="center"/>
        <w:rPr/>
      </w:pPr>
      <w:r>
        <w:rPr/>
      </w:r>
    </w:p>
    <w:p>
      <w:pPr>
        <w:pStyle w:val="Normal"/>
        <w:widowControl/>
        <w:suppressAutoHyphens w:val="true"/>
        <w:jc w:val="center"/>
        <w:rPr>
          <w:sz w:val="32"/>
          <w:szCs w:val="32"/>
        </w:rPr>
      </w:pPr>
      <w:r>
        <w:rPr>
          <w:b/>
          <w:bCs/>
          <w:sz w:val="32"/>
          <w:szCs w:val="32"/>
          <w:u w:val="single"/>
        </w:rPr>
        <w:t xml:space="preserve"> </w:t>
      </w:r>
      <w:r>
        <w:rPr>
          <w:b/>
          <w:bCs/>
          <w:sz w:val="32"/>
          <w:szCs w:val="32"/>
          <w:u w:val="single"/>
        </w:rPr>
        <w:t>THE GAS ACCORD SETTLEMENT AGREEMENT</w:t>
      </w:r>
    </w:p>
    <w:p>
      <w:pPr>
        <w:pStyle w:val="Normal"/>
        <w:widowControl/>
        <w:suppressAutoHyphens w:val="true"/>
        <w:rPr>
          <w:sz w:val="32"/>
          <w:szCs w:val="32"/>
        </w:rPr>
      </w:pPr>
      <w:r>
        <w:rPr>
          <w:sz w:val="32"/>
          <w:szCs w:val="32"/>
        </w:rPr>
      </w:r>
    </w:p>
    <w:p>
      <w:pPr>
        <w:pStyle w:val="Heading1"/>
        <w:widowControl/>
        <w:rPr/>
      </w:pPr>
      <w:r>
        <w:rPr/>
        <w:t>I.</w:t>
        <w:tab/>
        <w:t>INTRODUCTION</w:t>
      </w:r>
    </w:p>
    <w:p>
      <w:pPr>
        <w:pStyle w:val="Heading2"/>
        <w:widowControl/>
        <w:rPr/>
      </w:pPr>
      <w:r>
        <w:rPr/>
        <w:t>A.</w:t>
        <w:tab/>
        <w:t>Proposal for a New Gas Market Structure for Northern California</w:t>
      </w:r>
    </w:p>
    <w:p>
      <w:pPr>
        <w:pStyle w:val="Normal"/>
        <w:widowControl/>
        <w:suppressAutoHyphens w:val="true"/>
        <w:rPr/>
      </w:pPr>
      <w:r>
        <w:rPr/>
      </w:r>
    </w:p>
    <w:p>
      <w:pPr>
        <w:pStyle w:val="Normal"/>
        <w:widowControl/>
        <w:suppressAutoHyphens w:val="true"/>
        <w:ind w:start="720" w:end="0"/>
        <w:rPr/>
      </w:pPr>
      <w:r>
        <w:rPr/>
        <w:t>The Gas Accord is a proposal to significantly restructure the way PG&amp;E provides natural gas service to California consumers by increasing competition and customer choice.  In part, the Gas Accord is a response to signals from regulators and the market that the time has come for such changes.  The Gas Accord is also a vision of how the natural gas industry in northern California should be structured as we enter the next century.</w:t>
      </w:r>
    </w:p>
    <w:p>
      <w:pPr>
        <w:pStyle w:val="Normal"/>
        <w:widowControl/>
        <w:suppressAutoHyphens w:val="true"/>
        <w:spacing w:before="240" w:after="0"/>
        <w:ind w:start="720" w:end="0"/>
        <w:rPr/>
      </w:pPr>
      <w:r>
        <w:rPr/>
        <w:t>The Gas Accord consists of three broad initiatives.  First, the Accord unbundles PG&amp;E’s gas transmission and a portion of storage services, places PG&amp;E at risk for these costs, and changes the terms of service and the rate structure for gas transportation so that customers’ rates more accurately reflect the facilities used to serve them.  PG&amp;E’s service area is served by an integrated high-pressure transmission system that resembles an interstate pipeline system more than a typical local distribution company (LDC) system.  The Accord unbundles the transmission system, and requires PG&amp;E to operate and provide service on that system similar to an interstate pipeline.  PG&amp;E will continue to provide distribution service, much as it does today.</w:t>
      </w:r>
    </w:p>
    <w:p>
      <w:pPr>
        <w:pStyle w:val="Normal"/>
        <w:widowControl/>
        <w:suppressAutoHyphens w:val="true"/>
        <w:spacing w:before="240" w:after="0"/>
        <w:ind w:start="720" w:end="0"/>
        <w:rPr/>
      </w:pPr>
      <w:r>
        <w:rPr/>
        <w:t>Second, the Accord changes PG&amp;E’s role in procuring gas supplies for core customers in order to increase customer choice.  It reduces PG&amp;E’s role in core procurement, and reduces PG&amp;E’s holdings of interstate transportation capacity.  It also provides for negotiations between PG&amp;E and California gas producers for a mutual release of supply contracts with PG&amp;E.  PG&amp;E’s core procurement department will continue to hold a portion of storage capacity to ensure system reliability and a defined standard of customer service reliability, but customers will be free to seek commodity and transmission services from alternative suppliers.  As part of this Agreement, the Core Procurement Incentive Mechanism agreed to by PG&amp;E and DRA in 1996 must be implemented for an initial period through 1997, followed by the revised incentive mechanism described in the Gas Accord for the period thereafter.  The Gas Accord period will extend from the date of implementation, which PG&amp;E is asking to be July 1, 1997, through December 31, 2002.</w:t>
      </w:r>
    </w:p>
    <w:p>
      <w:pPr>
        <w:pStyle w:val="Normal"/>
        <w:widowControl/>
        <w:suppressAutoHyphens w:val="true"/>
        <w:spacing w:before="240" w:after="0"/>
        <w:ind w:start="720" w:end="0"/>
        <w:rPr/>
      </w:pPr>
      <w:r>
        <w:rPr/>
        <w:t>Third, the Gas Accord settles all major outstanding gas regulatory issues.  Neither PG&amp;E, the CPUC, nor market participants can expend the energy and resources to proceed with the Gas Accord while at the same time arguing about whether PG&amp;E acted reasonably under the old rules.</w:t>
      </w:r>
    </w:p>
    <w:p>
      <w:pPr>
        <w:pStyle w:val="Normal"/>
        <w:widowControl/>
        <w:suppressAutoHyphens w:val="true"/>
        <w:spacing w:before="240" w:after="0"/>
        <w:ind w:start="720" w:end="0"/>
        <w:rPr/>
      </w:pPr>
      <w:r>
        <w:rPr/>
        <w:t>The changes proposed herein are reasonable and bold responses to several forces for change that have manifested themselves since gas restructuring began in California, about ten years ago.  On the regulatory side, the CPUC has initiated programs to segment the noncore from the core market, with rights accorded to noncore customers to obtain transmission service and commodity supplies separately from bundled PG&amp;E service.  Core customer representatives are now advocating an increase in the competitive choices available to them.  In addition, the CPUC has changed the way it regulates both Southern California gas utilities, approving performance-based regulation for each utility’s gas procurement.  The CPUC also has called for an OII/OIR for the purpose of further restructuring the California natural gas industry on at least two occasions, most recently in a decision (D.94-02-042) approving interim rates for PG&amp;E’s Pipeline Expansion Project.</w:t>
      </w:r>
    </w:p>
    <w:p>
      <w:pPr>
        <w:pStyle w:val="Normal"/>
        <w:widowControl/>
        <w:suppressAutoHyphens w:val="true"/>
        <w:spacing w:before="240" w:after="0"/>
        <w:ind w:start="720" w:end="0"/>
        <w:rPr/>
      </w:pPr>
      <w:r>
        <w:rPr/>
        <w:t>The market, too, has signaled a desire for change.  Customers have sought more options for natural gas transportation and sources of supply.  Marketers and producers have stated there are obstacles to selling directly to core customers, and there have been proposals to build competitive pipelines into PG&amp;E’s service area.  All of these demonstrate that PG&amp;E’s current transportation and service structure is outdated.</w:t>
      </w:r>
    </w:p>
    <w:p>
      <w:pPr>
        <w:pStyle w:val="Normal"/>
        <w:widowControl/>
        <w:suppressAutoHyphens w:val="true"/>
        <w:spacing w:before="240" w:after="0"/>
        <w:ind w:start="720" w:end="0"/>
        <w:rPr/>
      </w:pPr>
      <w:r>
        <w:rPr/>
        <w:t>For these reasons, further changes are inevitable.  PG&amp;E could resist and watch these changes occur piecemeal, to the possible disadvantage of its customers and shareholders; however, this Gas Accord, negotiated with the market participants, offers a better prospect for a rational result.  All participants in the Accord process -- market participants, the CPUC, and PG&amp;E -- have significant interests in the process of change.  It is vital that this process result in a fair resolution of past issues and a fair opportunity to compete in the new world of unbundled competitive gas markets.</w:t>
      </w:r>
    </w:p>
    <w:p>
      <w:pPr>
        <w:pStyle w:val="Normal"/>
        <w:widowControl/>
        <w:suppressAutoHyphens w:val="true"/>
        <w:spacing w:before="240" w:after="0"/>
        <w:ind w:start="720" w:end="0"/>
        <w:rPr/>
      </w:pPr>
      <w:r>
        <w:rPr/>
        <w:t>Unbundling of services will increase market participation.  Each competitive market -- transmission, procurement, and other services -- inevitably will lead to the development of new services and increased choices for consumers.  As these markets become contested by new service providers, the freedom to compete in each on an equal basis must be granted to all parties, including PG&amp;E.  The Accord will move PG&amp;E and the marketplace toward this vision.</w:t>
      </w:r>
    </w:p>
    <w:p>
      <w:pPr>
        <w:pStyle w:val="Normal"/>
        <w:widowControl/>
        <w:suppressAutoHyphens w:val="true"/>
        <w:spacing w:before="240" w:after="0"/>
        <w:ind w:start="720" w:end="0"/>
        <w:rPr/>
      </w:pPr>
      <w:r>
        <w:rPr/>
        <w:t>The Accord is a negotiated compromise on a number of issues related to many proceedings.  If not accepted by the Commission, the Accord shall not be admissible in evidence in this or any other proceeding.  Nothing contained herein shall be deemed to constitute an admission or an acceptance by any party of any fact, principle, or position contained herein.</w:t>
      </w:r>
    </w:p>
    <w:p>
      <w:pPr>
        <w:pStyle w:val="Normal"/>
        <w:widowControl/>
        <w:suppressAutoHyphens w:val="true"/>
        <w:spacing w:before="240" w:after="0"/>
        <w:ind w:start="720" w:end="0"/>
        <w:rPr/>
      </w:pPr>
      <w:r>
        <w:rPr/>
        <w:t>The Accord is to be treated as an entire package and not as a collection of separate agreements on discrete proceedings, nor is the restructuring proposal separable from the resolution of past issues.  To accommodate the interests of different parties on diverse issues, changes, concessions, or compromises in one section of the Accord necessitated changes, concessions, or compromises in other sections.</w:t>
      </w:r>
    </w:p>
    <w:p>
      <w:pPr>
        <w:pStyle w:val="Normal"/>
        <w:widowControl/>
        <w:suppressAutoHyphens w:val="true"/>
        <w:spacing w:before="240" w:after="0"/>
        <w:ind w:start="720" w:end="0"/>
        <w:rPr/>
      </w:pPr>
      <w:r>
        <w:rPr/>
        <w:t>In an August 16, 1995, Assigned Commissioner’s Ruling on the Gas Accord process, Assigned Commissioner Fessler stated:</w:t>
      </w:r>
    </w:p>
    <w:p>
      <w:pPr>
        <w:pStyle w:val="BodyTextIndent"/>
        <w:widowControl/>
        <w:suppressAutoHyphens w:val="true"/>
        <w:ind w:start="720" w:end="0"/>
        <w:rPr/>
      </w:pPr>
      <w:r>
        <w:rPr/>
      </w:r>
    </w:p>
    <w:p>
      <w:pPr>
        <w:pStyle w:val="BodyTextIndent"/>
        <w:widowControl/>
        <w:suppressAutoHyphens w:val="true"/>
        <w:ind w:start="1080" w:end="0"/>
        <w:rPr/>
      </w:pPr>
      <w:r>
        <w:rPr/>
        <w:t>I encourage all affected parties to participate in settlement discussions, and I encourage PG&amp;E to include all gas market participants in its negotiations.  I look with disfavor on parties that decline fair opportunities to participate in settlement discussions, then criticize agreements reached in their absence. (August 16, 1995, ACR, p. 5).</w:t>
      </w:r>
    </w:p>
    <w:p>
      <w:pPr>
        <w:pStyle w:val="Normal"/>
        <w:widowControl/>
        <w:suppressAutoHyphens w:val="true"/>
        <w:spacing w:before="240" w:after="0"/>
        <w:ind w:start="720" w:end="0"/>
        <w:rPr/>
      </w:pPr>
      <w:r>
        <w:rPr/>
        <w:t>The Gas Accord negotiations have met the Assigned Commissioner’s standard for wide participation, and the Accord presents a new, more competitive structure for the natural gas marketplace in northern California that is broadly supported by the market participants.  The settling parties encourage the Commission to adopt and implement the Gas Accord.</w:t>
      </w:r>
    </w:p>
    <w:p>
      <w:pPr>
        <w:pStyle w:val="Heading2"/>
        <w:widowControl/>
        <w:rPr/>
      </w:pPr>
      <w:r>
        <w:rPr/>
        <w:t>B.</w:t>
        <w:tab/>
        <w:t>Elements of the Agreement</w:t>
      </w:r>
    </w:p>
    <w:p>
      <w:pPr>
        <w:pStyle w:val="Heading3"/>
        <w:keepNext w:val="false"/>
        <w:keepLines w:val="false"/>
        <w:widowControl/>
        <w:suppressAutoHyphens w:val="true"/>
        <w:rPr/>
      </w:pPr>
      <w:r>
        <w:rPr/>
        <w:t>1.</w:t>
        <w:tab/>
        <w:t>Unbundle the rates and service options for transmission system service from distribution system service.  The transmission system is defined as PG&amp;E’s backbone and local gas transmission lines, including gathering and Stanpac facilities.  The local transmission system includes distribution feeder mains (DFMs).  A map of PG&amp;E’s system is included at the end of this Section.</w:t>
      </w:r>
    </w:p>
    <w:p>
      <w:pPr>
        <w:pStyle w:val="Heading3"/>
        <w:keepNext w:val="false"/>
        <w:keepLines w:val="false"/>
        <w:widowControl/>
        <w:suppressAutoHyphens w:val="true"/>
        <w:rPr/>
      </w:pPr>
      <w:r>
        <w:rPr/>
        <w:t>2.</w:t>
        <w:tab/>
        <w:t>Charge transmission, storage, and distribution rates to those customers who use these facilities pursuant to contractually-defined terms of service.</w:t>
      </w:r>
    </w:p>
    <w:p>
      <w:pPr>
        <w:pStyle w:val="Heading3"/>
        <w:keepNext w:val="false"/>
        <w:keepLines w:val="false"/>
        <w:widowControl/>
        <w:suppressAutoHyphens w:val="true"/>
        <w:rPr/>
      </w:pPr>
      <w:r>
        <w:rPr/>
        <w:t>3.</w:t>
        <w:tab/>
        <w:t>Provide balancing service through a single integrated gas system for both transmission level and distribution level customers.  PG&amp;E proposes initially to continue a monthly balancing service, with imbalance trading, tighter tolerance bands and monthly cash-out provisions.</w:t>
      </w:r>
    </w:p>
    <w:p>
      <w:pPr>
        <w:pStyle w:val="Heading3"/>
        <w:keepNext w:val="false"/>
        <w:keepLines w:val="false"/>
        <w:widowControl/>
        <w:suppressAutoHyphens w:val="true"/>
        <w:rPr/>
      </w:pPr>
      <w:r>
        <w:rPr/>
        <w:t>4.</w:t>
        <w:tab/>
        <w:t>Establish transmission system services that eliminate the crossover ban and the backbone credit.</w:t>
      </w:r>
    </w:p>
    <w:p>
      <w:pPr>
        <w:pStyle w:val="Heading3"/>
        <w:keepNext w:val="false"/>
        <w:keepLines w:val="false"/>
        <w:widowControl/>
        <w:suppressAutoHyphens w:val="true"/>
        <w:rPr/>
      </w:pPr>
      <w:r>
        <w:rPr/>
        <w:t>5.</w:t>
        <w:tab/>
        <w:t>Offer various paths over the transmission system.  Each path requires a separate contract.  See Section II for more information on the definition of the paths and applicable delivery and receipt points.  These paths include:</w:t>
      </w:r>
    </w:p>
    <w:p>
      <w:pPr>
        <w:pStyle w:val="Heading4"/>
        <w:widowControl/>
        <w:ind w:end="-360"/>
        <w:rPr/>
      </w:pPr>
      <w:r>
        <w:rPr/>
        <w:t>a.</w:t>
        <w:tab/>
        <w:t>Malin to On-system for the Core;</w:t>
        <w:tab/>
        <w:tab/>
      </w:r>
    </w:p>
    <w:p>
      <w:pPr>
        <w:pStyle w:val="Heading4"/>
        <w:widowControl/>
        <w:ind w:end="-360"/>
        <w:rPr/>
      </w:pPr>
      <w:r>
        <w:rPr/>
        <w:t>b.</w:t>
        <w:tab/>
        <w:t>Malin to On-system;</w:t>
        <w:tab/>
        <w:tab/>
        <w:tab/>
        <w:tab/>
        <w:tab/>
      </w:r>
    </w:p>
    <w:p>
      <w:pPr>
        <w:pStyle w:val="Heading4"/>
        <w:widowControl/>
        <w:ind w:end="-360"/>
        <w:rPr/>
      </w:pPr>
      <w:r>
        <w:rPr/>
        <w:t>c.</w:t>
        <w:tab/>
        <w:t>Topock to On-system;</w:t>
        <w:tab/>
        <w:tab/>
        <w:tab/>
        <w:tab/>
        <w:tab/>
      </w:r>
    </w:p>
    <w:p>
      <w:pPr>
        <w:pStyle w:val="Heading4"/>
        <w:widowControl/>
        <w:ind w:end="-360"/>
        <w:rPr/>
      </w:pPr>
      <w:r>
        <w:rPr/>
        <w:t>d.</w:t>
        <w:tab/>
        <w:t>California Production and Storage to On-system;</w:t>
        <w:tab/>
      </w:r>
    </w:p>
    <w:p>
      <w:pPr>
        <w:pStyle w:val="Heading4"/>
        <w:widowControl/>
        <w:ind w:end="-360"/>
        <w:rPr/>
      </w:pPr>
      <w:r>
        <w:rPr/>
        <w:t>e.</w:t>
        <w:tab/>
        <w:t>Malin to Off-system;</w:t>
        <w:tab/>
        <w:tab/>
        <w:tab/>
        <w:tab/>
        <w:tab/>
      </w:r>
    </w:p>
    <w:p>
      <w:pPr>
        <w:pStyle w:val="Heading4"/>
        <w:widowControl/>
        <w:ind w:end="-360"/>
        <w:rPr/>
      </w:pPr>
      <w:r>
        <w:rPr/>
        <w:t>f.</w:t>
        <w:tab/>
        <w:t>Topock to Off-system;</w:t>
      </w:r>
    </w:p>
    <w:p>
      <w:pPr>
        <w:pStyle w:val="Heading4"/>
        <w:widowControl/>
        <w:rPr/>
      </w:pPr>
      <w:r>
        <w:rPr/>
        <w:t>g.</w:t>
        <w:tab/>
        <w:t>California Production, Storage, Market Center/Hub Services, and On-system Delivery Points to Off-system; and</w:t>
      </w:r>
    </w:p>
    <w:p>
      <w:pPr>
        <w:pStyle w:val="Heading4"/>
        <w:widowControl/>
        <w:ind w:end="-360"/>
        <w:rPr/>
      </w:pPr>
      <w:r>
        <w:rPr/>
        <w:t>h.</w:t>
        <w:tab/>
        <w:t>G-XF Firm Service.</w:t>
        <w:tab/>
        <w:tab/>
        <w:tab/>
        <w:tab/>
      </w:r>
    </w:p>
    <w:p>
      <w:pPr>
        <w:pStyle w:val="Normal"/>
        <w:widowControl/>
        <w:suppressAutoHyphens w:val="true"/>
        <w:rPr/>
      </w:pPr>
      <w:r>
        <w:rPr/>
        <w:tab/>
      </w:r>
    </w:p>
    <w:p>
      <w:pPr>
        <w:pStyle w:val="Normal"/>
        <w:widowControl/>
        <w:suppressAutoHyphens w:val="true"/>
        <w:ind w:start="1080" w:end="0"/>
        <w:rPr/>
      </w:pPr>
      <w:r>
        <w:rPr/>
        <w:t>On-system is defined as any point at which deliveries are made to, or for ultimate delivery to, PG&amp;E's distribution facilities, PG&amp;E's storage facilities, a third party's storage facilities located in PG&amp;E's service territory, or end-use or wholesale loads located in PG&amp;E's service territory.  Off-system is defined as any point of interconnection for delivery outside of PG&amp;E's service territory.</w:t>
      </w:r>
    </w:p>
    <w:p>
      <w:pPr>
        <w:pStyle w:val="Heading3"/>
        <w:widowControl/>
        <w:rPr/>
      </w:pPr>
      <w:r>
        <w:rPr/>
        <w:t>6.</w:t>
        <w:tab/>
        <w:t>Provide new services over these paths using (a) Line 300 capacity, and (b) capacity consisting of that portion of Line 400 capacity not reserved for the core and that portion of Line 401 capacity not reserved under long-term firm contracts with existing firm Expansion shippers.  This combined Malin capacity is to be redesignated by the Commission as non-Expansion capacity, which shall be subject to phased-in rates and shall not be subject to the tariff or contract provisions and rights that apply to the Line 401 capacity reserved under long-term Expansion contracts.</w:t>
      </w:r>
    </w:p>
    <w:p>
      <w:pPr>
        <w:pStyle w:val="Heading3"/>
        <w:keepNext w:val="false"/>
        <w:keepLines w:val="false"/>
        <w:widowControl/>
        <w:suppressAutoHyphens w:val="true"/>
        <w:rPr/>
      </w:pPr>
      <w:r>
        <w:rPr/>
        <w:t>7.</w:t>
        <w:tab/>
        <w:t xml:space="preserve">For ratemaking purposes, phase-in the embedded cost of 375 MMcf/d (381 Mdth/d) of Line 401 capacity into the Line 400 capacity not reserved for the core over the period from 1997 through 2002.  The phase-in will begin at 200 MMcf/d </w:t>
        <w:br/>
        <w:t xml:space="preserve">(203 Mdth/d).  This phase-in schedule is consistent with historical Line 401 </w:t>
        <w:br/>
        <w:t>on-system usage and projected on-system noncore demand growth.  This will determine the Malin to on-system path costs.  (See Section II.I.3 for the complete phase-in schedule.)</w:t>
      </w:r>
    </w:p>
    <w:p>
      <w:pPr>
        <w:pStyle w:val="Heading3"/>
        <w:keepNext w:val="false"/>
        <w:keepLines w:val="false"/>
        <w:widowControl/>
        <w:suppressAutoHyphens w:val="true"/>
        <w:rPr/>
      </w:pPr>
      <w:r>
        <w:rPr/>
        <w:t>8.</w:t>
        <w:tab/>
        <w:t>Provide to the retail core 600 MMcf/d (609 Mdth/d) and to core wholesale 6.5 MMcf/d (6.6 Mdth/d) of Malin to on-system vintage firm capacity, at Line 400 embedded cost (vintaged rates).  Any additional capacity from Malin used by the retail core or wholesale customers must be on the Malin to on-system path.</w:t>
      </w:r>
    </w:p>
    <w:p>
      <w:pPr>
        <w:pStyle w:val="Heading3"/>
        <w:keepNext w:val="false"/>
        <w:keepLines w:val="false"/>
        <w:widowControl/>
        <w:suppressAutoHyphens w:val="true"/>
        <w:rPr/>
      </w:pPr>
      <w:r>
        <w:rPr/>
        <w:t>9.</w:t>
        <w:tab/>
        <w:t xml:space="preserve">Honor the service commitments set forth in existing long-term transmission service agreements for the period of the Accord or the remaining term of each such agreement, whichever applies.  These commitments are addressed below in Section II.F.  </w:t>
      </w:r>
    </w:p>
    <w:p>
      <w:pPr>
        <w:pStyle w:val="Heading3"/>
        <w:keepNext w:val="false"/>
        <w:keepLines w:val="false"/>
        <w:widowControl/>
        <w:suppressAutoHyphens w:val="true"/>
        <w:rPr/>
      </w:pPr>
      <w:r>
        <w:rPr/>
        <w:t>10.</w:t>
        <w:tab/>
        <w:t>Provide parking and lending services at all interstate interconnection points and at Kern River Station.  These services shall be provided using transmission and storage capacity as it becomes available.</w:t>
      </w:r>
    </w:p>
    <w:p>
      <w:pPr>
        <w:pStyle w:val="Heading3"/>
        <w:keepNext w:val="false"/>
        <w:keepLines w:val="false"/>
        <w:widowControl/>
        <w:suppressAutoHyphens w:val="true"/>
        <w:rPr/>
      </w:pPr>
      <w:r>
        <w:rPr/>
        <w:t>11.</w:t>
        <w:tab/>
        <w:t>Continue operational integration of PG&amp;E’s gas storage facilities with PG&amp;E’s transmission facilities.  PG&amp;E will reserve firm storage capacity for pipeline balancing services and PG&amp;E’s Core Procurement Department will contract for a major portion of PG&amp;E firm storage capacity on behalf of the retail core.  The remaining storage capacity will be marketed in an unbundled storage program.</w:t>
      </w:r>
    </w:p>
    <w:p>
      <w:pPr>
        <w:pStyle w:val="Heading3"/>
        <w:widowControl/>
        <w:rPr/>
      </w:pPr>
      <w:r>
        <w:rPr/>
        <w:t>12.</w:t>
        <w:tab/>
        <w:t>Unless otherwise stated in this document, the principles and specific elements of the Accord, the resulting Accord rates (and their underlying assumptions) and the revenue treatment for Accord services are fixed and not subject to challenge or change in any regulatory forum during the Gas Accord period.  Consequently, the parties will not challenge any assumption that is set by this Accord, and that if altered, would result in a shift of revenue responsibility between core and noncore customers and/or between customers and PG&amp;E shareholders.  Furthermore, any issue settled as part of the Gas Accord described in Section V, Litigation Resolution, will not be subject to litigation in any regulatory forum.</w:t>
      </w:r>
    </w:p>
    <w:p>
      <w:pPr>
        <w:pStyle w:val="BodyText"/>
        <w:rPr/>
      </w:pPr>
      <w:r>
        <w:rPr/>
      </w:r>
    </w:p>
    <w:p>
      <w:pPr>
        <w:pStyle w:val="BodyText"/>
        <w:rPr/>
      </w:pPr>
      <w:r>
        <w:rPr/>
      </w:r>
      <w:r>
        <w:br w:type="page"/>
      </w:r>
    </w:p>
    <w:p>
      <w:pPr>
        <w:pStyle w:val="Normal"/>
        <w:widowControl/>
        <w:spacing w:lineRule="auto" w:line="480"/>
        <w:rPr/>
      </w:pPr>
      <w:r>
        <w:rPr/>
      </w:r>
    </w:p>
    <w:p>
      <w:pPr>
        <w:pStyle w:val="Normal"/>
        <w:widowControl/>
        <w:rPr/>
      </w:pPr>
      <w:r>
        <w:rPr/>
        <w:t>This page left deliberately blank for the map to be inserted</w:t>
      </w:r>
      <w:r>
        <w:br w:type="page"/>
      </w:r>
    </w:p>
    <w:p>
      <w:pPr>
        <w:pStyle w:val="Heading1"/>
        <w:widowControl/>
        <w:rPr/>
      </w:pPr>
      <w:r>
        <w:rPr/>
        <w:t>II.</w:t>
        <w:tab/>
        <w:t>TRANSMISSION AND STORAGE SERVICES</w:t>
      </w:r>
    </w:p>
    <w:p>
      <w:pPr>
        <w:pStyle w:val="Heading2"/>
        <w:keepNext w:val="false"/>
        <w:keepLines w:val="false"/>
        <w:widowControl/>
        <w:suppressAutoHyphens w:val="true"/>
        <w:rPr/>
      </w:pPr>
      <w:r>
        <w:rPr/>
        <w:t>A.</w:t>
        <w:tab/>
        <w:t>New Transmission Services</w:t>
      </w:r>
    </w:p>
    <w:p>
      <w:pPr>
        <w:pStyle w:val="Normal"/>
        <w:widowControl/>
        <w:suppressAutoHyphens w:val="true"/>
        <w:spacing w:before="240" w:after="0"/>
        <w:ind w:hanging="720" w:start="720" w:end="0"/>
        <w:rPr/>
      </w:pPr>
      <w:r>
        <w:rPr/>
        <w:t>The services offered over the backbone portions of the new transmission paths (paths a through g, listed in Section I.B.5 above) are described below.  Contracts will set the terms of service, including service priority.  Local transmission costs are included in a separate local transmission charge, which will be collected from all on-system end-users.  The pre</w:t>
        <w:noBreakHyphen/>
        <w:t>existing transmission services are described in Section II.B, below.</w:t>
      </w:r>
    </w:p>
    <w:p>
      <w:pPr>
        <w:pStyle w:val="Normal"/>
        <w:widowControl/>
        <w:suppressAutoHyphens w:val="true"/>
        <w:spacing w:before="240" w:after="0"/>
        <w:ind w:hanging="720" w:start="720" w:end="0"/>
        <w:rPr/>
      </w:pPr>
      <w:r>
        <w:rPr/>
        <w:t>The following five transmission services will have all terms and conditions set by tariff.</w:t>
      </w:r>
    </w:p>
    <w:p>
      <w:pPr>
        <w:pStyle w:val="Heading3"/>
        <w:keepNext w:val="false"/>
        <w:keepLines w:val="false"/>
        <w:widowControl/>
        <w:suppressAutoHyphens w:val="true"/>
        <w:rPr/>
      </w:pPr>
      <w:r>
        <w:rPr/>
        <w:t>1.</w:t>
        <w:tab/>
        <w:t>Firm Annual On-system (AFT)</w:t>
      </w:r>
    </w:p>
    <w:p>
      <w:pPr>
        <w:pStyle w:val="Heading4"/>
        <w:keepNext w:val="false"/>
        <w:keepLines w:val="false"/>
        <w:widowControl/>
        <w:suppressAutoHyphens w:val="true"/>
        <w:rPr/>
      </w:pPr>
      <w:r>
        <w:rPr/>
        <w:t>a.</w:t>
        <w:tab/>
      </w:r>
      <w:r>
        <w:rPr>
          <w:i/>
          <w:iCs/>
        </w:rPr>
        <w:t>Definition</w:t>
      </w:r>
      <w:r>
        <w:rPr/>
        <w:t>:  Firm service on the transmission system with deliveries on-system.</w:t>
      </w:r>
    </w:p>
    <w:p>
      <w:pPr>
        <w:pStyle w:val="Heading4"/>
        <w:keepNext w:val="false"/>
        <w:keepLines w:val="false"/>
        <w:widowControl/>
        <w:suppressAutoHyphens w:val="true"/>
        <w:rPr/>
      </w:pPr>
      <w:r>
        <w:rPr/>
        <w:t>b.</w:t>
        <w:tab/>
      </w:r>
      <w:r>
        <w:rPr>
          <w:i/>
          <w:iCs/>
        </w:rPr>
        <w:t>Minimum Term</w:t>
      </w:r>
      <w:r>
        <w:rPr/>
        <w:t>:  One year.</w:t>
      </w:r>
    </w:p>
    <w:p>
      <w:pPr>
        <w:pStyle w:val="Heading4"/>
        <w:keepNext w:val="false"/>
        <w:keepLines w:val="false"/>
        <w:widowControl/>
        <w:suppressAutoHyphens w:val="true"/>
        <w:rPr/>
      </w:pPr>
      <w:r>
        <w:rPr/>
        <w:t>c.</w:t>
        <w:tab/>
      </w:r>
      <w:r>
        <w:rPr>
          <w:i/>
          <w:iCs/>
        </w:rPr>
        <w:t>Rate</w:t>
      </w:r>
      <w:r>
        <w:rPr/>
        <w:t>:  Straight Fixed Variable (SFV) or Modified Fixed Variable (MFV), at the shipper’s option for the backbone component.  See rates in Section VI.  No discounts.</w:t>
      </w:r>
    </w:p>
    <w:p>
      <w:pPr>
        <w:pStyle w:val="Heading3"/>
        <w:keepNext w:val="false"/>
        <w:keepLines w:val="false"/>
        <w:widowControl/>
        <w:suppressAutoHyphens w:val="true"/>
        <w:rPr/>
      </w:pPr>
      <w:r>
        <w:rPr/>
        <w:t>2.</w:t>
        <w:tab/>
        <w:t>Firm Seasonal (SFT)</w:t>
      </w:r>
    </w:p>
    <w:p>
      <w:pPr>
        <w:pStyle w:val="Heading4"/>
        <w:keepNext w:val="false"/>
        <w:keepLines w:val="false"/>
        <w:widowControl/>
        <w:suppressAutoHyphens w:val="true"/>
        <w:rPr/>
      </w:pPr>
      <w:r>
        <w:rPr/>
        <w:t>a.</w:t>
        <w:tab/>
      </w:r>
      <w:r>
        <w:rPr>
          <w:i/>
          <w:iCs/>
        </w:rPr>
        <w:t>Definition</w:t>
      </w:r>
      <w:r>
        <w:rPr/>
        <w:t>:  Firm seasonal service on the transmission system.</w:t>
      </w:r>
    </w:p>
    <w:p>
      <w:pPr>
        <w:pStyle w:val="Heading4"/>
        <w:keepNext w:val="false"/>
        <w:keepLines w:val="false"/>
        <w:widowControl/>
        <w:suppressAutoHyphens w:val="true"/>
        <w:rPr/>
      </w:pPr>
      <w:r>
        <w:rPr/>
        <w:t>b.</w:t>
        <w:tab/>
      </w:r>
      <w:r>
        <w:rPr>
          <w:i/>
          <w:iCs/>
        </w:rPr>
        <w:t>Conditions:</w:t>
      </w:r>
      <w:r>
        <w:rPr/>
        <w:t xml:space="preserve">  Paths to on-system destinations only.  Maximum term limited to two years.</w:t>
      </w:r>
    </w:p>
    <w:p>
      <w:pPr>
        <w:pStyle w:val="Heading4"/>
        <w:keepNext w:val="false"/>
        <w:keepLines w:val="false"/>
        <w:widowControl/>
        <w:suppressAutoHyphens w:val="true"/>
        <w:rPr/>
      </w:pPr>
      <w:r>
        <w:rPr/>
        <w:t>c.</w:t>
        <w:tab/>
      </w:r>
      <w:r>
        <w:rPr>
          <w:i/>
          <w:iCs/>
        </w:rPr>
        <w:t>Minimum Term</w:t>
      </w:r>
      <w:r>
        <w:rPr/>
        <w:t>:  Three consecutive months in one season.</w:t>
      </w:r>
    </w:p>
    <w:p>
      <w:pPr>
        <w:pStyle w:val="Heading4"/>
        <w:keepNext w:val="false"/>
        <w:keepLines w:val="false"/>
        <w:widowControl/>
        <w:suppressAutoHyphens w:val="true"/>
        <w:rPr/>
      </w:pPr>
      <w:r>
        <w:rPr/>
        <w:t>d.</w:t>
        <w:tab/>
      </w:r>
      <w:r>
        <w:rPr>
          <w:i/>
          <w:iCs/>
        </w:rPr>
        <w:t>Winter Season</w:t>
      </w:r>
      <w:r>
        <w:rPr/>
        <w:t xml:space="preserve">:  November through March. </w:t>
      </w:r>
    </w:p>
    <w:p>
      <w:pPr>
        <w:pStyle w:val="Heading4"/>
        <w:keepNext w:val="false"/>
        <w:keepLines w:val="false"/>
        <w:widowControl/>
        <w:suppressAutoHyphens w:val="true"/>
        <w:rPr/>
      </w:pPr>
      <w:r>
        <w:rPr/>
        <w:t>e.</w:t>
        <w:tab/>
      </w:r>
      <w:r>
        <w:rPr>
          <w:i/>
          <w:iCs/>
        </w:rPr>
        <w:t>Summer Season</w:t>
      </w:r>
      <w:r>
        <w:rPr/>
        <w:t xml:space="preserve">: April through October. </w:t>
      </w:r>
    </w:p>
    <w:p>
      <w:pPr>
        <w:pStyle w:val="Heading4"/>
        <w:keepNext w:val="false"/>
        <w:keepLines w:val="false"/>
        <w:widowControl/>
        <w:suppressAutoHyphens w:val="true"/>
        <w:rPr/>
      </w:pPr>
      <w:r>
        <w:rPr/>
        <w:t>f.</w:t>
        <w:tab/>
      </w:r>
      <w:r>
        <w:rPr>
          <w:i/>
          <w:iCs/>
        </w:rPr>
        <w:t>Rate</w:t>
      </w:r>
      <w:r>
        <w:rPr/>
        <w:t>:  SFV or MFV, at the shipper’s option for the backbone component.  See  rates in Section VI.  No discounts.</w:t>
      </w:r>
    </w:p>
    <w:p>
      <w:pPr>
        <w:pStyle w:val="Heading3"/>
        <w:keepNext w:val="false"/>
        <w:keepLines w:val="false"/>
        <w:widowControl/>
        <w:suppressAutoHyphens w:val="true"/>
        <w:rPr/>
      </w:pPr>
      <w:r>
        <w:rPr/>
        <w:t>3.</w:t>
        <w:tab/>
        <w:t>As-available On-system (AA)</w:t>
      </w:r>
    </w:p>
    <w:p>
      <w:pPr>
        <w:pStyle w:val="Heading4"/>
        <w:keepNext w:val="false"/>
        <w:keepLines w:val="false"/>
        <w:widowControl/>
        <w:suppressAutoHyphens w:val="true"/>
        <w:rPr/>
      </w:pPr>
      <w:r>
        <w:rPr/>
        <w:t>a.</w:t>
        <w:tab/>
      </w:r>
      <w:r>
        <w:rPr>
          <w:i/>
          <w:iCs/>
        </w:rPr>
        <w:t>Definition</w:t>
      </w:r>
      <w:r>
        <w:rPr/>
        <w:t>:  As-available service on the transmission system with deliveries on-system.</w:t>
      </w:r>
    </w:p>
    <w:p>
      <w:pPr>
        <w:pStyle w:val="Heading4"/>
        <w:keepNext w:val="false"/>
        <w:keepLines w:val="false"/>
        <w:widowControl/>
        <w:suppressAutoHyphens w:val="true"/>
        <w:rPr/>
      </w:pPr>
      <w:r>
        <w:rPr/>
        <w:t>b.</w:t>
        <w:tab/>
      </w:r>
      <w:r>
        <w:rPr>
          <w:i/>
          <w:iCs/>
        </w:rPr>
        <w:t>Minimum Term</w:t>
      </w:r>
      <w:r>
        <w:rPr/>
        <w:t>:  One day.</w:t>
      </w:r>
    </w:p>
    <w:p>
      <w:pPr>
        <w:pStyle w:val="Heading4"/>
        <w:keepNext w:val="false"/>
        <w:keepLines w:val="false"/>
        <w:widowControl/>
        <w:suppressAutoHyphens w:val="true"/>
        <w:rPr/>
      </w:pPr>
      <w:r>
        <w:rPr/>
        <w:t>c.</w:t>
        <w:tab/>
      </w:r>
      <w:r>
        <w:rPr>
          <w:i/>
          <w:iCs/>
        </w:rPr>
        <w:t>Rate:</w:t>
      </w:r>
      <w:r>
        <w:rPr/>
        <w:t xml:space="preserve">  Volumetric for the backbone component.  See rates in Section VI.  No discounts.</w:t>
      </w:r>
    </w:p>
    <w:p>
      <w:pPr>
        <w:pStyle w:val="Heading3"/>
        <w:keepNext w:val="false"/>
        <w:keepLines w:val="false"/>
        <w:widowControl/>
        <w:suppressAutoHyphens w:val="true"/>
        <w:rPr/>
      </w:pPr>
      <w:r>
        <w:rPr/>
        <w:t>4.</w:t>
        <w:tab/>
        <w:t>Firm Annual Off-system (AFT-Off)</w:t>
      </w:r>
    </w:p>
    <w:p>
      <w:pPr>
        <w:pStyle w:val="Heading4"/>
        <w:keepNext w:val="false"/>
        <w:keepLines w:val="false"/>
        <w:widowControl/>
        <w:suppressAutoHyphens w:val="true"/>
        <w:rPr/>
      </w:pPr>
      <w:r>
        <w:rPr/>
        <w:t>a.</w:t>
        <w:tab/>
      </w:r>
      <w:r>
        <w:rPr>
          <w:i/>
          <w:iCs/>
        </w:rPr>
        <w:t>Definition</w:t>
      </w:r>
      <w:r>
        <w:rPr/>
        <w:t>:  Firm service on the transmission system with deliveries off-system.</w:t>
      </w:r>
    </w:p>
    <w:p>
      <w:pPr>
        <w:pStyle w:val="Heading4"/>
        <w:keepNext w:val="false"/>
        <w:keepLines w:val="false"/>
        <w:widowControl/>
        <w:suppressAutoHyphens w:val="true"/>
        <w:rPr/>
      </w:pPr>
      <w:r>
        <w:rPr/>
        <w:t>b.</w:t>
        <w:tab/>
      </w:r>
      <w:r>
        <w:rPr>
          <w:i/>
          <w:iCs/>
        </w:rPr>
        <w:t>Minimum Term</w:t>
      </w:r>
      <w:r>
        <w:rPr/>
        <w:t>:  One year.</w:t>
      </w:r>
    </w:p>
    <w:p>
      <w:pPr>
        <w:pStyle w:val="Heading4"/>
        <w:keepNext w:val="false"/>
        <w:keepLines w:val="false"/>
        <w:widowControl/>
        <w:suppressAutoHyphens w:val="true"/>
        <w:rPr/>
      </w:pPr>
      <w:r>
        <w:rPr/>
        <w:t>c.</w:t>
        <w:tab/>
      </w:r>
      <w:r>
        <w:rPr>
          <w:i/>
          <w:iCs/>
        </w:rPr>
        <w:t>Rate</w:t>
      </w:r>
      <w:r>
        <w:rPr/>
        <w:t>:  Straight Fixed Variable (SFV) or Modified Fixed Variable (MFV), at the shipper’s option for the backbone component.  If a shipper elects SFV rate design, the shipper can also specify an alternate delivery point on-system.  If a shipper elects MFV, delivery must be off-system only.  See rates in Section VI.  No discounts.</w:t>
      </w:r>
    </w:p>
    <w:p>
      <w:pPr>
        <w:pStyle w:val="Heading3"/>
        <w:keepNext w:val="false"/>
        <w:keepLines w:val="false"/>
        <w:widowControl/>
        <w:suppressAutoHyphens w:val="true"/>
        <w:rPr/>
      </w:pPr>
      <w:r>
        <w:rPr/>
        <w:t>5.</w:t>
        <w:tab/>
        <w:t>As-available Off-system (AA-Off)</w:t>
      </w:r>
    </w:p>
    <w:p>
      <w:pPr>
        <w:pStyle w:val="Heading4"/>
        <w:keepNext w:val="false"/>
        <w:keepLines w:val="false"/>
        <w:widowControl/>
        <w:suppressAutoHyphens w:val="true"/>
        <w:rPr/>
      </w:pPr>
      <w:r>
        <w:rPr/>
        <w:t>a.</w:t>
        <w:tab/>
      </w:r>
      <w:r>
        <w:rPr>
          <w:i/>
          <w:iCs/>
        </w:rPr>
        <w:t>Definition</w:t>
      </w:r>
      <w:r>
        <w:rPr/>
        <w:t>:  As-available service on the transmission system with deliveries off-system.</w:t>
      </w:r>
    </w:p>
    <w:p>
      <w:pPr>
        <w:pStyle w:val="Heading4"/>
        <w:keepNext w:val="false"/>
        <w:keepLines w:val="false"/>
        <w:widowControl/>
        <w:suppressAutoHyphens w:val="true"/>
        <w:rPr/>
      </w:pPr>
      <w:r>
        <w:rPr/>
        <w:t>b.</w:t>
        <w:tab/>
      </w:r>
      <w:r>
        <w:rPr>
          <w:i/>
          <w:iCs/>
        </w:rPr>
        <w:t>Minimum Term</w:t>
      </w:r>
      <w:r>
        <w:rPr/>
        <w:t>:  One day.</w:t>
      </w:r>
    </w:p>
    <w:p>
      <w:pPr>
        <w:pStyle w:val="Heading4"/>
        <w:keepNext w:val="false"/>
        <w:keepLines w:val="false"/>
        <w:widowControl/>
        <w:suppressAutoHyphens w:val="true"/>
        <w:rPr/>
      </w:pPr>
      <w:r>
        <w:rPr/>
        <w:t>c.</w:t>
        <w:tab/>
      </w:r>
      <w:r>
        <w:rPr>
          <w:i/>
          <w:iCs/>
        </w:rPr>
        <w:t>Rate:</w:t>
      </w:r>
      <w:r>
        <w:rPr/>
        <w:t xml:space="preserve">  Volumetric for the backbone component.  See rates in Section VI.  No discounts.</w:t>
      </w:r>
    </w:p>
    <w:p>
      <w:pPr>
        <w:pStyle w:val="Normal"/>
        <w:widowControl/>
        <w:suppressAutoHyphens w:val="true"/>
        <w:rPr/>
      </w:pPr>
      <w:r>
        <w:rPr/>
      </w:r>
    </w:p>
    <w:p>
      <w:pPr>
        <w:pStyle w:val="Normal"/>
        <w:widowControl/>
        <w:suppressAutoHyphens w:val="true"/>
        <w:rPr/>
      </w:pPr>
      <w:r>
        <w:rPr/>
        <w:t>The following four transmission services are negotiable, as indicated.</w:t>
      </w:r>
    </w:p>
    <w:p>
      <w:pPr>
        <w:pStyle w:val="Heading3"/>
        <w:keepNext w:val="false"/>
        <w:keepLines w:val="false"/>
        <w:widowControl/>
        <w:suppressAutoHyphens w:val="true"/>
        <w:rPr/>
      </w:pPr>
      <w:r>
        <w:rPr/>
        <w:t>6.</w:t>
        <w:tab/>
        <w:t>Negotiated Firm Service On-system (NFT)</w:t>
      </w:r>
    </w:p>
    <w:p>
      <w:pPr>
        <w:pStyle w:val="Heading4"/>
        <w:keepNext w:val="false"/>
        <w:keepLines w:val="false"/>
        <w:widowControl/>
        <w:suppressAutoHyphens w:val="true"/>
        <w:rPr/>
      </w:pPr>
      <w:r>
        <w:rPr/>
        <w:t>a.</w:t>
        <w:tab/>
      </w:r>
      <w:r>
        <w:rPr>
          <w:i/>
          <w:iCs/>
        </w:rPr>
        <w:t>Definition:</w:t>
      </w:r>
      <w:r>
        <w:rPr/>
        <w:t xml:space="preserve">  Firm service on the transmission system with deliveries on-system.</w:t>
      </w:r>
    </w:p>
    <w:p>
      <w:pPr>
        <w:pStyle w:val="Heading4"/>
        <w:keepNext w:val="false"/>
        <w:keepLines w:val="false"/>
        <w:widowControl/>
        <w:suppressAutoHyphens w:val="true"/>
        <w:rPr/>
      </w:pPr>
      <w:r>
        <w:rPr/>
        <w:t>b.</w:t>
        <w:tab/>
      </w:r>
      <w:r>
        <w:rPr>
          <w:i/>
          <w:iCs/>
        </w:rPr>
        <w:t>Minimum Term</w:t>
      </w:r>
      <w:r>
        <w:rPr/>
        <w:t xml:space="preserve">:  Negotiable. </w:t>
      </w:r>
    </w:p>
    <w:p>
      <w:pPr>
        <w:pStyle w:val="Heading4"/>
        <w:keepNext w:val="false"/>
        <w:keepLines w:val="false"/>
        <w:widowControl/>
        <w:suppressAutoHyphens w:val="true"/>
        <w:rPr/>
      </w:pPr>
      <w:r>
        <w:rPr/>
        <w:t>c.</w:t>
        <w:tab/>
      </w:r>
      <w:r>
        <w:rPr>
          <w:i/>
          <w:iCs/>
        </w:rPr>
        <w:t>Rate</w:t>
      </w:r>
      <w:r>
        <w:rPr/>
        <w:t xml:space="preserve">:  Negotiable, above a marginal-cost-based floor consistent with negotiated term.  Maximum rate for the backbone component of each path is 120 percent of the firm annual rate for that path.  </w:t>
      </w:r>
    </w:p>
    <w:p>
      <w:pPr>
        <w:pStyle w:val="Heading4"/>
        <w:keepNext w:val="false"/>
        <w:keepLines w:val="false"/>
        <w:widowControl/>
        <w:suppressAutoHyphens w:val="true"/>
        <w:rPr/>
      </w:pPr>
      <w:r>
        <w:rPr/>
        <w:t>d.</w:t>
        <w:tab/>
      </w:r>
      <w:r>
        <w:rPr>
          <w:i/>
          <w:iCs/>
        </w:rPr>
        <w:t>Take Requirement</w:t>
      </w:r>
      <w:r>
        <w:rPr/>
        <w:t>:  Negotiable.</w:t>
      </w:r>
    </w:p>
    <w:p>
      <w:pPr>
        <w:pStyle w:val="Heading4"/>
        <w:keepNext w:val="false"/>
        <w:keepLines w:val="false"/>
        <w:widowControl/>
        <w:suppressAutoHyphens w:val="true"/>
        <w:rPr/>
      </w:pPr>
      <w:r>
        <w:rPr/>
        <w:t>e.</w:t>
        <w:tab/>
        <w:t xml:space="preserve">Sections IX and X of General Order No. 96-A are waived by the Commission. </w:t>
      </w:r>
    </w:p>
    <w:p>
      <w:pPr>
        <w:pStyle w:val="Heading3"/>
        <w:keepNext w:val="false"/>
        <w:keepLines w:val="false"/>
        <w:widowControl/>
        <w:suppressAutoHyphens w:val="true"/>
        <w:rPr/>
      </w:pPr>
      <w:r>
        <w:rPr/>
        <w:t>7.</w:t>
        <w:tab/>
        <w:t>Negotiated As-available On-system (NAA)</w:t>
      </w:r>
    </w:p>
    <w:p>
      <w:pPr>
        <w:pStyle w:val="Heading4"/>
        <w:keepNext w:val="false"/>
        <w:keepLines w:val="false"/>
        <w:widowControl/>
        <w:suppressAutoHyphens w:val="true"/>
        <w:rPr/>
      </w:pPr>
      <w:r>
        <w:rPr/>
        <w:t>a.</w:t>
        <w:tab/>
      </w:r>
      <w:r>
        <w:rPr>
          <w:i/>
          <w:iCs/>
        </w:rPr>
        <w:t>Definition</w:t>
      </w:r>
      <w:r>
        <w:rPr/>
        <w:t>:  As-available service on the transmission system with deliveries on-system.</w:t>
      </w:r>
    </w:p>
    <w:p>
      <w:pPr>
        <w:pStyle w:val="Heading4"/>
        <w:keepNext w:val="false"/>
        <w:keepLines w:val="false"/>
        <w:widowControl/>
        <w:suppressAutoHyphens w:val="true"/>
        <w:rPr/>
      </w:pPr>
      <w:r>
        <w:rPr/>
        <w:t>b.</w:t>
        <w:tab/>
      </w:r>
      <w:r>
        <w:rPr>
          <w:i/>
          <w:iCs/>
        </w:rPr>
        <w:t>Minimum Term</w:t>
      </w:r>
      <w:r>
        <w:rPr/>
        <w:t>:  Negotiable.</w:t>
      </w:r>
    </w:p>
    <w:p>
      <w:pPr>
        <w:pStyle w:val="Heading4"/>
        <w:keepNext w:val="false"/>
        <w:keepLines w:val="false"/>
        <w:widowControl/>
        <w:suppressAutoHyphens w:val="true"/>
        <w:rPr/>
      </w:pPr>
      <w:r>
        <w:rPr/>
        <w:t>c.</w:t>
        <w:tab/>
      </w:r>
      <w:r>
        <w:rPr>
          <w:i/>
          <w:iCs/>
        </w:rPr>
        <w:t>Rate</w:t>
      </w:r>
      <w:r>
        <w:rPr/>
        <w:t xml:space="preserve">:  Negotiable, above a marginal-cost-based floor consistent with the negotiated term.  Maximum rate for the backbone component of each path is 120  percent of the As-available rate for that path.  </w:t>
      </w:r>
    </w:p>
    <w:p>
      <w:pPr>
        <w:pStyle w:val="Heading4"/>
        <w:keepNext w:val="false"/>
        <w:keepLines w:val="false"/>
        <w:widowControl/>
        <w:suppressAutoHyphens w:val="true"/>
        <w:rPr/>
      </w:pPr>
      <w:r>
        <w:rPr/>
        <w:t>d.</w:t>
        <w:tab/>
      </w:r>
      <w:r>
        <w:rPr>
          <w:i/>
          <w:iCs/>
        </w:rPr>
        <w:t>Take Requirement</w:t>
      </w:r>
      <w:r>
        <w:rPr/>
        <w:t>:  Negotiable.</w:t>
      </w:r>
    </w:p>
    <w:p>
      <w:pPr>
        <w:pStyle w:val="Heading4"/>
        <w:keepNext w:val="false"/>
        <w:keepLines w:val="false"/>
        <w:widowControl/>
        <w:suppressAutoHyphens w:val="true"/>
        <w:rPr/>
      </w:pPr>
      <w:r>
        <w:rPr/>
        <w:t>e.</w:t>
        <w:tab/>
        <w:t xml:space="preserve">Sections IX and X of General Order No. 96-A are waived by the Commission. </w:t>
      </w:r>
    </w:p>
    <w:p>
      <w:pPr>
        <w:pStyle w:val="Heading3"/>
        <w:keepNext w:val="false"/>
        <w:keepLines w:val="false"/>
        <w:widowControl/>
        <w:suppressAutoHyphens w:val="true"/>
        <w:rPr/>
      </w:pPr>
      <w:r>
        <w:rPr/>
        <w:t>8.</w:t>
        <w:tab/>
        <w:t>Negotiated Firm Service Off-system (NFT-Off)</w:t>
      </w:r>
    </w:p>
    <w:p>
      <w:pPr>
        <w:pStyle w:val="Heading4"/>
        <w:keepNext w:val="false"/>
        <w:keepLines w:val="false"/>
        <w:widowControl/>
        <w:suppressAutoHyphens w:val="true"/>
        <w:rPr/>
      </w:pPr>
      <w:r>
        <w:rPr/>
        <w:t>a.</w:t>
        <w:tab/>
      </w:r>
      <w:r>
        <w:rPr>
          <w:i/>
          <w:iCs/>
        </w:rPr>
        <w:t>Definition:</w:t>
      </w:r>
      <w:r>
        <w:rPr/>
        <w:t xml:space="preserve">  Firm service on the transmission system with deliveries off-system.</w:t>
      </w:r>
    </w:p>
    <w:p>
      <w:pPr>
        <w:pStyle w:val="Heading4"/>
        <w:keepNext w:val="false"/>
        <w:keepLines w:val="false"/>
        <w:widowControl/>
        <w:suppressAutoHyphens w:val="true"/>
        <w:rPr/>
      </w:pPr>
      <w:r>
        <w:rPr/>
        <w:t>b.</w:t>
        <w:tab/>
      </w:r>
      <w:r>
        <w:rPr>
          <w:i/>
          <w:iCs/>
        </w:rPr>
        <w:t>Minimum Term</w:t>
      </w:r>
      <w:r>
        <w:rPr/>
        <w:t xml:space="preserve">:  Negotiable. </w:t>
      </w:r>
    </w:p>
    <w:p>
      <w:pPr>
        <w:pStyle w:val="Heading4"/>
        <w:keepNext w:val="false"/>
        <w:keepLines w:val="false"/>
        <w:widowControl/>
        <w:suppressAutoHyphens w:val="true"/>
        <w:rPr/>
      </w:pPr>
      <w:r>
        <w:rPr/>
        <w:t>c.</w:t>
        <w:tab/>
      </w:r>
      <w:r>
        <w:rPr>
          <w:i/>
          <w:iCs/>
        </w:rPr>
        <w:t>Rate</w:t>
      </w:r>
      <w:r>
        <w:rPr/>
        <w:t xml:space="preserve">:  Negotiable, above a marginal-cost-based floor consistent with negotiated term.  Maximum rate for the backbone component of each path is 120 percent of the firm annual rate for that path.  </w:t>
      </w:r>
    </w:p>
    <w:p>
      <w:pPr>
        <w:pStyle w:val="Heading4"/>
        <w:keepNext w:val="false"/>
        <w:keepLines w:val="false"/>
        <w:widowControl/>
        <w:suppressAutoHyphens w:val="true"/>
        <w:rPr/>
      </w:pPr>
      <w:r>
        <w:rPr/>
        <w:t>d.</w:t>
        <w:tab/>
      </w:r>
      <w:r>
        <w:rPr>
          <w:i/>
          <w:iCs/>
        </w:rPr>
        <w:t>Take Requirement</w:t>
      </w:r>
      <w:r>
        <w:rPr/>
        <w:t>:  Negotiable.</w:t>
      </w:r>
    </w:p>
    <w:p>
      <w:pPr>
        <w:pStyle w:val="Heading4"/>
        <w:keepNext w:val="false"/>
        <w:keepLines w:val="false"/>
        <w:widowControl/>
        <w:suppressAutoHyphens w:val="true"/>
        <w:rPr/>
      </w:pPr>
      <w:r>
        <w:rPr/>
        <w:t>e.</w:t>
        <w:tab/>
        <w:t xml:space="preserve">Sections IX and X of General Order No. 96-A are waived by the Commission. </w:t>
      </w:r>
    </w:p>
    <w:p>
      <w:pPr>
        <w:pStyle w:val="Heading3"/>
        <w:keepNext w:val="false"/>
        <w:keepLines w:val="false"/>
        <w:widowControl/>
        <w:suppressAutoHyphens w:val="true"/>
        <w:rPr/>
      </w:pPr>
      <w:r>
        <w:rPr/>
        <w:t>9.</w:t>
        <w:tab/>
        <w:t>Negotiated As-available Off-system (NAA-Off)</w:t>
      </w:r>
    </w:p>
    <w:p>
      <w:pPr>
        <w:pStyle w:val="Heading4"/>
        <w:keepNext w:val="false"/>
        <w:keepLines w:val="false"/>
        <w:widowControl/>
        <w:suppressAutoHyphens w:val="true"/>
        <w:rPr/>
      </w:pPr>
      <w:r>
        <w:rPr/>
        <w:t>a.</w:t>
        <w:tab/>
      </w:r>
      <w:r>
        <w:rPr>
          <w:i/>
          <w:iCs/>
        </w:rPr>
        <w:t>Definition</w:t>
      </w:r>
      <w:r>
        <w:rPr/>
        <w:t>:  As-available service on the transmission system with deliveries off-system.</w:t>
      </w:r>
    </w:p>
    <w:p>
      <w:pPr>
        <w:pStyle w:val="Heading4"/>
        <w:keepNext w:val="false"/>
        <w:keepLines w:val="false"/>
        <w:widowControl/>
        <w:suppressAutoHyphens w:val="true"/>
        <w:rPr/>
      </w:pPr>
      <w:r>
        <w:rPr/>
        <w:t>b.</w:t>
        <w:tab/>
      </w:r>
      <w:r>
        <w:rPr>
          <w:i/>
          <w:iCs/>
        </w:rPr>
        <w:t>Minimum Term</w:t>
      </w:r>
      <w:r>
        <w:rPr/>
        <w:t>:  Negotiable.</w:t>
      </w:r>
    </w:p>
    <w:p>
      <w:pPr>
        <w:pStyle w:val="Heading4"/>
        <w:keepNext w:val="false"/>
        <w:keepLines w:val="false"/>
        <w:widowControl/>
        <w:suppressAutoHyphens w:val="true"/>
        <w:rPr/>
      </w:pPr>
      <w:r>
        <w:rPr/>
        <w:t>c.</w:t>
        <w:tab/>
      </w:r>
      <w:r>
        <w:rPr>
          <w:i/>
          <w:iCs/>
        </w:rPr>
        <w:t>Rate</w:t>
      </w:r>
      <w:r>
        <w:rPr/>
        <w:t xml:space="preserve">:  Negotiable, above a marginal-cost-based floor consistent with the negotiated term.  Maximum rate for the backbone component of each path is 120  percent of the As-available rate for that path.  </w:t>
      </w:r>
    </w:p>
    <w:p>
      <w:pPr>
        <w:pStyle w:val="Heading4"/>
        <w:keepNext w:val="false"/>
        <w:keepLines w:val="false"/>
        <w:widowControl/>
        <w:suppressAutoHyphens w:val="true"/>
        <w:rPr/>
      </w:pPr>
      <w:r>
        <w:rPr/>
        <w:t>d.</w:t>
        <w:tab/>
      </w:r>
      <w:r>
        <w:rPr>
          <w:i/>
          <w:iCs/>
        </w:rPr>
        <w:t>Take Requirement</w:t>
      </w:r>
      <w:r>
        <w:rPr/>
        <w:t>:  Negotiable.</w:t>
      </w:r>
    </w:p>
    <w:p>
      <w:pPr>
        <w:pStyle w:val="Heading4"/>
        <w:keepNext w:val="false"/>
        <w:keepLines w:val="false"/>
        <w:widowControl/>
        <w:suppressAutoHyphens w:val="true"/>
        <w:rPr/>
      </w:pPr>
      <w:r>
        <w:rPr/>
        <w:t>e.</w:t>
        <w:tab/>
        <w:t xml:space="preserve">Sections IX and X of General Order No. 96-A are waived by the Commission. </w:t>
      </w:r>
    </w:p>
    <w:p>
      <w:pPr>
        <w:pStyle w:val="Heading3"/>
        <w:keepNext w:val="false"/>
        <w:keepLines w:val="false"/>
        <w:widowControl/>
        <w:suppressAutoHyphens w:val="true"/>
        <w:rPr/>
      </w:pPr>
      <w:r>
        <w:rPr/>
        <w:t>10.</w:t>
        <w:tab/>
        <w:t xml:space="preserve">PG&amp;E may also offer other customer-specific negotiated contracts.  Negotiated transmission service contracts under NFT and NAA will not require submission to the CPUC for approval; however, any other negotiated transmission service contracts will require submission to the CPUC for approval. </w:t>
      </w:r>
      <w:r>
        <w:br w:type="page"/>
      </w:r>
    </w:p>
    <w:p>
      <w:pPr>
        <w:pStyle w:val="Heading3"/>
        <w:keepNext w:val="false"/>
        <w:keepLines w:val="false"/>
        <w:widowControl/>
        <w:suppressAutoHyphens w:val="true"/>
        <w:rPr/>
      </w:pPr>
      <w:r>
        <w:rPr/>
        <w:t>11.</w:t>
        <w:tab/>
        <w:t>The following table summarizes which new transmission services are available to the transmission paths described in Section I.B.5.</w:t>
      </w:r>
    </w:p>
    <w:p>
      <w:pPr>
        <w:pStyle w:val="Normal"/>
        <w:widowControl/>
        <w:rPr/>
      </w:pPr>
      <w:r>
        <w:rPr/>
        <w:tab/>
        <w:tab/>
        <w:tab/>
        <w:tab/>
        <w:tab/>
        <w:tab/>
        <w:tab/>
        <w:tab/>
        <w:tab/>
        <w:t xml:space="preserve"> </w:t>
        <w:tab/>
        <w:t>Available</w:t>
      </w:r>
    </w:p>
    <w:p>
      <w:pPr>
        <w:pStyle w:val="Normal"/>
        <w:widowControl/>
        <w:ind w:start="1440" w:end="0"/>
        <w:rPr/>
      </w:pPr>
      <w:r>
        <w:rPr>
          <w:u w:val="single"/>
        </w:rPr>
        <w:t>Path</w:t>
      </w:r>
      <w:r>
        <w:rPr/>
        <w:tab/>
        <w:tab/>
        <w:tab/>
        <w:tab/>
        <w:tab/>
        <w:tab/>
        <w:tab/>
        <w:tab/>
      </w:r>
      <w:r>
        <w:rPr>
          <w:u w:val="single"/>
        </w:rPr>
        <w:t>Services</w:t>
      </w:r>
    </w:p>
    <w:p>
      <w:pPr>
        <w:pStyle w:val="Heading4"/>
        <w:widowControl/>
        <w:ind w:end="-360"/>
        <w:rPr/>
      </w:pPr>
      <w:r>
        <w:rPr/>
        <w:t>a.</w:t>
        <w:tab/>
        <w:t>Malin to On-system for Core</w:t>
        <w:tab/>
        <w:tab/>
        <w:tab/>
        <w:tab/>
        <w:tab/>
        <w:t>AFT</w:t>
      </w:r>
    </w:p>
    <w:p>
      <w:pPr>
        <w:pStyle w:val="Heading4"/>
        <w:widowControl/>
        <w:ind w:end="-360"/>
        <w:rPr/>
      </w:pPr>
      <w:r>
        <w:rPr/>
        <w:t>b.</w:t>
        <w:tab/>
        <w:t>Malin to On-system</w:t>
        <w:tab/>
        <w:tab/>
        <w:tab/>
        <w:tab/>
        <w:tab/>
        <w:tab/>
        <w:t xml:space="preserve">AFT, SFT, AA, NFT, </w:t>
        <w:tab/>
        <w:tab/>
        <w:tab/>
        <w:tab/>
        <w:tab/>
        <w:tab/>
        <w:tab/>
        <w:tab/>
        <w:tab/>
        <w:t xml:space="preserve">NAA </w:t>
      </w:r>
    </w:p>
    <w:p>
      <w:pPr>
        <w:pStyle w:val="Heading4"/>
        <w:widowControl/>
        <w:ind w:end="-360"/>
        <w:rPr/>
      </w:pPr>
      <w:r>
        <w:rPr/>
        <w:t>c.</w:t>
        <w:tab/>
        <w:t>Topock to On-system</w:t>
        <w:tab/>
        <w:tab/>
        <w:tab/>
        <w:tab/>
        <w:tab/>
        <w:tab/>
        <w:t xml:space="preserve">AFT, SFT, AA, NFT, </w:t>
        <w:tab/>
        <w:tab/>
        <w:tab/>
        <w:tab/>
        <w:tab/>
        <w:tab/>
        <w:tab/>
        <w:tab/>
        <w:tab/>
        <w:t xml:space="preserve">NAA, </w:t>
      </w:r>
    </w:p>
    <w:p>
      <w:pPr>
        <w:pStyle w:val="Heading4"/>
        <w:widowControl/>
        <w:ind w:end="-360"/>
        <w:rPr/>
      </w:pPr>
      <w:r>
        <w:rPr/>
        <w:t>d.</w:t>
        <w:tab/>
        <w:t>California Production and Storage to On-system</w:t>
        <w:tab/>
        <w:tab/>
        <w:t xml:space="preserve">AFT, SFT, AA, NFT, </w:t>
        <w:tab/>
        <w:tab/>
        <w:tab/>
        <w:tab/>
        <w:tab/>
        <w:tab/>
        <w:tab/>
        <w:tab/>
        <w:tab/>
        <w:t xml:space="preserve">NAA, </w:t>
      </w:r>
    </w:p>
    <w:p>
      <w:pPr>
        <w:pStyle w:val="Heading4"/>
        <w:widowControl/>
        <w:ind w:end="-360"/>
        <w:rPr/>
      </w:pPr>
      <w:r>
        <w:rPr/>
        <w:t>e.</w:t>
        <w:tab/>
        <w:t>Malin to Off-system</w:t>
        <w:tab/>
        <w:tab/>
        <w:tab/>
        <w:tab/>
        <w:tab/>
        <w:tab/>
        <w:t xml:space="preserve">AFT-Off, AA-Off,    </w:t>
        <w:tab/>
        <w:tab/>
        <w:tab/>
        <w:tab/>
        <w:tab/>
        <w:tab/>
        <w:tab/>
        <w:tab/>
        <w:tab/>
        <w:t>NFT-Off, NAA-Off</w:t>
      </w:r>
    </w:p>
    <w:p>
      <w:pPr>
        <w:pStyle w:val="Heading4"/>
        <w:widowControl/>
        <w:ind w:end="-360"/>
        <w:rPr/>
      </w:pPr>
      <w:r>
        <w:rPr/>
        <w:t>f.</w:t>
        <w:tab/>
        <w:t>Topock to Off-system</w:t>
        <w:tab/>
        <w:tab/>
        <w:tab/>
        <w:tab/>
        <w:tab/>
        <w:tab/>
        <w:t>AFT-Off, AA-Off,</w:t>
        <w:tab/>
        <w:tab/>
        <w:tab/>
        <w:tab/>
        <w:tab/>
        <w:tab/>
        <w:tab/>
        <w:tab/>
        <w:tab/>
        <w:t>NFT-Off, NAA-Off</w:t>
      </w:r>
    </w:p>
    <w:p>
      <w:pPr>
        <w:pStyle w:val="Heading4"/>
        <w:widowControl/>
        <w:ind w:end="-360"/>
        <w:rPr/>
      </w:pPr>
      <w:r>
        <w:rPr/>
        <w:t>g.</w:t>
        <w:tab/>
        <w:t xml:space="preserve">California Production, Storage, Market Center/Hub </w:t>
        <w:tab/>
        <w:tab/>
        <w:t>AFT-Off, AA-Off, Services and On-system Delivery Points to Off-system</w:t>
        <w:tab/>
        <w:t>NFT-Off, NAA-Off</w:t>
      </w:r>
    </w:p>
    <w:p>
      <w:pPr>
        <w:pStyle w:val="Heading2"/>
        <w:widowControl/>
        <w:rPr/>
      </w:pPr>
      <w:r>
        <w:rPr/>
        <w:t>B.</w:t>
        <w:tab/>
        <w:t>Pre-existing Transmission Services</w:t>
      </w:r>
    </w:p>
    <w:p>
      <w:pPr>
        <w:pStyle w:val="Heading3"/>
        <w:widowControl/>
        <w:rPr/>
      </w:pPr>
      <w:r>
        <w:rPr/>
        <w:t>1.</w:t>
        <w:tab/>
        <w:t>G-XF Firm Service</w:t>
      </w:r>
    </w:p>
    <w:p>
      <w:pPr>
        <w:pStyle w:val="Heading4"/>
        <w:keepNext w:val="false"/>
        <w:keepLines w:val="false"/>
        <w:widowControl/>
        <w:suppressAutoHyphens w:val="true"/>
        <w:rPr/>
      </w:pPr>
      <w:r>
        <w:rPr/>
        <w:t>a.</w:t>
        <w:tab/>
      </w:r>
      <w:r>
        <w:rPr>
          <w:i/>
          <w:iCs/>
        </w:rPr>
        <w:t>Definition:</w:t>
      </w:r>
      <w:r>
        <w:rPr/>
        <w:t xml:space="preserve">  Firm service on Line 401 under the G-XF rate.</w:t>
      </w:r>
    </w:p>
    <w:p>
      <w:pPr>
        <w:pStyle w:val="Heading4"/>
        <w:keepNext w:val="false"/>
        <w:keepLines w:val="false"/>
        <w:widowControl/>
        <w:suppressAutoHyphens w:val="true"/>
        <w:rPr/>
      </w:pPr>
      <w:r>
        <w:rPr/>
        <w:t>b.</w:t>
        <w:tab/>
      </w:r>
      <w:r>
        <w:rPr>
          <w:i/>
          <w:iCs/>
        </w:rPr>
        <w:t>Minimum Term</w:t>
      </w:r>
      <w:r>
        <w:rPr/>
        <w:t>:  Thirty years.</w:t>
      </w:r>
    </w:p>
    <w:p>
      <w:pPr>
        <w:pStyle w:val="Heading4"/>
        <w:keepNext w:val="false"/>
        <w:keepLines w:val="false"/>
        <w:widowControl/>
        <w:suppressAutoHyphens w:val="true"/>
        <w:rPr/>
      </w:pPr>
      <w:r>
        <w:rPr/>
        <w:t>c.</w:t>
        <w:tab/>
      </w:r>
      <w:r>
        <w:rPr>
          <w:i/>
          <w:iCs/>
        </w:rPr>
        <w:t>Rate</w:t>
      </w:r>
      <w:r>
        <w:rPr/>
        <w:t xml:space="preserve">:  Incremental rates based on a capital cost for Line 401 of $736 million, using utility capital structure and the operating expenses and cost allocation methodologies set forth in PG&amp;E’s PEPR Application. </w:t>
      </w:r>
    </w:p>
    <w:p>
      <w:pPr>
        <w:pStyle w:val="Heading4"/>
        <w:keepNext w:val="false"/>
        <w:keepLines w:val="false"/>
        <w:widowControl/>
        <w:suppressAutoHyphens w:val="true"/>
        <w:rPr/>
      </w:pPr>
      <w:r>
        <w:rPr/>
        <w:t>d.</w:t>
        <w:tab/>
      </w:r>
      <w:r>
        <w:rPr>
          <w:i/>
          <w:iCs/>
        </w:rPr>
        <w:t>Take Requirement</w:t>
      </w:r>
      <w:r>
        <w:rPr/>
        <w:t>:  As negotiated.</w:t>
      </w:r>
    </w:p>
    <w:p>
      <w:pPr>
        <w:pStyle w:val="Heading4"/>
        <w:keepNext w:val="false"/>
        <w:keepLines w:val="false"/>
        <w:widowControl/>
        <w:suppressAutoHyphens w:val="true"/>
        <w:rPr/>
      </w:pPr>
      <w:r>
        <w:rPr/>
        <w:t>e.</w:t>
        <w:tab/>
      </w:r>
      <w:r>
        <w:rPr>
          <w:i/>
          <w:iCs/>
        </w:rPr>
        <w:t>Other terms and conditions</w:t>
      </w:r>
      <w:r>
        <w:rPr/>
        <w:t>:  Delivery point as set forth in Exhibit A to each firm contract; Uniform Terms of Service rights apply only to firm G-XF service; backbone credit and crossover ban are eliminated.</w:t>
      </w:r>
    </w:p>
    <w:p>
      <w:pPr>
        <w:pStyle w:val="Heading4"/>
        <w:keepNext w:val="false"/>
        <w:keepLines w:val="false"/>
        <w:widowControl/>
        <w:suppressAutoHyphens w:val="true"/>
        <w:rPr/>
      </w:pPr>
      <w:r>
        <w:rPr/>
        <w:t>f.</w:t>
        <w:tab/>
        <w:t>Sections IX and X of General Order No. 96-A may apply.</w:t>
      </w:r>
    </w:p>
    <w:p>
      <w:pPr>
        <w:pStyle w:val="Heading3"/>
        <w:widowControl/>
        <w:rPr/>
      </w:pPr>
      <w:r>
        <w:rPr/>
        <w:t>2.</w:t>
        <w:tab/>
        <w:t>Expedited Application Docket (EAD) Agreements</w:t>
      </w:r>
    </w:p>
    <w:p>
      <w:pPr>
        <w:pStyle w:val="Heading4"/>
        <w:widowControl/>
        <w:rPr/>
      </w:pPr>
      <w:r>
        <w:rPr/>
        <w:t>a.</w:t>
        <w:tab/>
      </w:r>
      <w:r>
        <w:rPr>
          <w:i/>
          <w:iCs/>
        </w:rPr>
        <w:t>Definition:</w:t>
      </w:r>
      <w:r>
        <w:rPr/>
        <w:t xml:space="preserve">  Firm service on Line 300 and from California gas production to the burnertip, under individually negotiated contracts approved by the CPUC under the provisions of Decision 92-11-052.</w:t>
      </w:r>
    </w:p>
    <w:p>
      <w:pPr>
        <w:pStyle w:val="Heading4"/>
        <w:keepNext w:val="false"/>
        <w:keepLines w:val="false"/>
        <w:widowControl/>
        <w:suppressAutoHyphens w:val="true"/>
        <w:rPr/>
      </w:pPr>
      <w:r>
        <w:rPr/>
        <w:t>b.</w:t>
        <w:tab/>
      </w:r>
      <w:r>
        <w:rPr>
          <w:i/>
          <w:iCs/>
        </w:rPr>
        <w:t>Minimum Term</w:t>
      </w:r>
      <w:r>
        <w:rPr/>
        <w:t xml:space="preserve">:  As set forth in each contract. </w:t>
      </w:r>
    </w:p>
    <w:p>
      <w:pPr>
        <w:pStyle w:val="Heading4"/>
        <w:keepNext w:val="false"/>
        <w:keepLines w:val="false"/>
        <w:widowControl/>
        <w:suppressAutoHyphens w:val="true"/>
        <w:rPr/>
      </w:pPr>
      <w:r>
        <w:rPr/>
        <w:t>c.</w:t>
        <w:tab/>
      </w:r>
      <w:r>
        <w:rPr>
          <w:i/>
          <w:iCs/>
        </w:rPr>
        <w:t>Rate</w:t>
      </w:r>
      <w:r>
        <w:rPr/>
        <w:t>:  Volumetric negotiated rate, as set forth in each contract.</w:t>
      </w:r>
    </w:p>
    <w:p>
      <w:pPr>
        <w:pStyle w:val="Heading4"/>
        <w:keepNext w:val="false"/>
        <w:keepLines w:val="false"/>
        <w:widowControl/>
        <w:suppressAutoHyphens w:val="true"/>
        <w:rPr/>
      </w:pPr>
      <w:r>
        <w:rPr/>
        <w:t>d.</w:t>
        <w:tab/>
      </w:r>
      <w:r>
        <w:rPr>
          <w:i/>
          <w:iCs/>
        </w:rPr>
        <w:t>Take Requirement</w:t>
      </w:r>
      <w:r>
        <w:rPr/>
        <w:t xml:space="preserve">:  As set forth in each contract. </w:t>
      </w:r>
    </w:p>
    <w:p>
      <w:pPr>
        <w:pStyle w:val="Heading4"/>
        <w:keepNext w:val="false"/>
        <w:keepLines w:val="false"/>
        <w:widowControl/>
        <w:suppressAutoHyphens w:val="true"/>
        <w:rPr/>
      </w:pPr>
      <w:r>
        <w:rPr/>
        <w:t>e.</w:t>
        <w:tab/>
      </w:r>
      <w:r>
        <w:rPr>
          <w:i/>
          <w:iCs/>
        </w:rPr>
        <w:t>Other terms and conditions</w:t>
      </w:r>
      <w:r>
        <w:rPr/>
        <w:t xml:space="preserve">:  As set forth in each contract. </w:t>
      </w:r>
    </w:p>
    <w:p>
      <w:pPr>
        <w:pStyle w:val="Heading4"/>
        <w:keepNext w:val="false"/>
        <w:keepLines w:val="false"/>
        <w:widowControl/>
        <w:suppressAutoHyphens w:val="true"/>
        <w:rPr/>
      </w:pPr>
      <w:r>
        <w:rPr/>
        <w:t>f.</w:t>
        <w:tab/>
        <w:t>Sections IX and X of General Order No. 96-A may apply.</w:t>
      </w:r>
    </w:p>
    <w:p>
      <w:pPr>
        <w:pStyle w:val="Heading3"/>
        <w:widowControl/>
        <w:rPr/>
      </w:pPr>
      <w:r>
        <w:rPr/>
        <w:t>3.</w:t>
        <w:tab/>
        <w:t>Enhanced Oil Recovery (EOR) Agreements</w:t>
      </w:r>
    </w:p>
    <w:p>
      <w:pPr>
        <w:pStyle w:val="Heading4"/>
        <w:keepNext w:val="false"/>
        <w:keepLines w:val="false"/>
        <w:widowControl/>
        <w:suppressAutoHyphens w:val="true"/>
        <w:rPr/>
      </w:pPr>
      <w:r>
        <w:rPr/>
        <w:t>a.</w:t>
        <w:tab/>
      </w:r>
      <w:r>
        <w:rPr>
          <w:i/>
          <w:iCs/>
        </w:rPr>
        <w:t xml:space="preserve">Definition: </w:t>
      </w:r>
      <w:r>
        <w:rPr/>
        <w:t xml:space="preserve"> Interruptible service for Enhanced Oil Recovery customers pursuant to Decisions 85-12-102 and 87-05-046.</w:t>
      </w:r>
    </w:p>
    <w:p>
      <w:pPr>
        <w:pStyle w:val="Heading4"/>
        <w:keepNext w:val="false"/>
        <w:keepLines w:val="false"/>
        <w:widowControl/>
        <w:suppressAutoHyphens w:val="true"/>
        <w:rPr/>
      </w:pPr>
      <w:r>
        <w:rPr/>
        <w:t>b.</w:t>
        <w:tab/>
      </w:r>
      <w:r>
        <w:rPr>
          <w:i/>
          <w:iCs/>
        </w:rPr>
        <w:t>Minimum Term</w:t>
      </w:r>
      <w:r>
        <w:rPr/>
        <w:t>:  As set forth in each contract.</w:t>
      </w:r>
    </w:p>
    <w:p>
      <w:pPr>
        <w:pStyle w:val="Heading4"/>
        <w:keepNext w:val="false"/>
        <w:keepLines w:val="false"/>
        <w:widowControl/>
        <w:suppressAutoHyphens w:val="true"/>
        <w:rPr/>
      </w:pPr>
      <w:r>
        <w:rPr/>
        <w:t>c.</w:t>
        <w:tab/>
      </w:r>
      <w:r>
        <w:rPr>
          <w:i/>
          <w:iCs/>
        </w:rPr>
        <w:t>Rate</w:t>
      </w:r>
      <w:r>
        <w:rPr/>
        <w:t xml:space="preserve">:  Volumetric negotiated rate, as set forth in each contract. </w:t>
      </w:r>
    </w:p>
    <w:p>
      <w:pPr>
        <w:pStyle w:val="Heading4"/>
        <w:keepNext w:val="false"/>
        <w:keepLines w:val="false"/>
        <w:widowControl/>
        <w:suppressAutoHyphens w:val="true"/>
        <w:rPr/>
      </w:pPr>
      <w:r>
        <w:rPr/>
        <w:t>d.</w:t>
        <w:tab/>
      </w:r>
      <w:r>
        <w:rPr>
          <w:i/>
          <w:iCs/>
        </w:rPr>
        <w:t>Take Requirement</w:t>
      </w:r>
      <w:r>
        <w:rPr/>
        <w:t>:  None</w:t>
      </w:r>
    </w:p>
    <w:p>
      <w:pPr>
        <w:pStyle w:val="Heading4"/>
        <w:keepNext w:val="false"/>
        <w:keepLines w:val="false"/>
        <w:widowControl/>
        <w:suppressAutoHyphens w:val="true"/>
        <w:rPr/>
      </w:pPr>
      <w:r>
        <w:rPr/>
        <w:t>e.</w:t>
        <w:tab/>
      </w:r>
      <w:r>
        <w:rPr>
          <w:i/>
          <w:iCs/>
        </w:rPr>
        <w:t>Other terms and conditions</w:t>
      </w:r>
      <w:r>
        <w:rPr/>
        <w:t>:  As set forth in each contract.</w:t>
      </w:r>
    </w:p>
    <w:p>
      <w:pPr>
        <w:pStyle w:val="Heading4"/>
        <w:keepNext w:val="false"/>
        <w:keepLines w:val="false"/>
        <w:widowControl/>
        <w:suppressAutoHyphens w:val="true"/>
        <w:rPr/>
      </w:pPr>
      <w:r>
        <w:rPr/>
        <w:t>f.</w:t>
        <w:tab/>
        <w:t>Sections IX and X of General Order No. 96-A apply.</w:t>
      </w:r>
    </w:p>
    <w:p>
      <w:pPr>
        <w:pStyle w:val="Heading3"/>
        <w:widowControl/>
        <w:rPr/>
      </w:pPr>
      <w:r>
        <w:rPr/>
        <w:t>4.</w:t>
        <w:tab/>
        <w:t>Expedited Direct Connection Docket (EDCD) Agreements</w:t>
      </w:r>
    </w:p>
    <w:p>
      <w:pPr>
        <w:pStyle w:val="Heading4"/>
        <w:keepNext w:val="false"/>
        <w:keepLines w:val="false"/>
        <w:widowControl/>
        <w:suppressAutoHyphens w:val="true"/>
        <w:rPr/>
      </w:pPr>
      <w:r>
        <w:rPr/>
        <w:t>a.</w:t>
        <w:tab/>
      </w:r>
      <w:r>
        <w:rPr>
          <w:i/>
          <w:iCs/>
        </w:rPr>
        <w:t>Definition</w:t>
      </w:r>
      <w:r>
        <w:rPr/>
        <w:t xml:space="preserve">:  Agreements for direct connection service on PG&amp;E’s Line 401 approved pursuant to the CPUC’s Expedited Direct Connection Docket. </w:t>
      </w:r>
    </w:p>
    <w:p>
      <w:pPr>
        <w:pStyle w:val="Heading4"/>
        <w:keepNext w:val="false"/>
        <w:keepLines w:val="false"/>
        <w:widowControl/>
        <w:suppressAutoHyphens w:val="true"/>
        <w:rPr/>
      </w:pPr>
      <w:r>
        <w:rPr/>
        <w:t>b.</w:t>
        <w:tab/>
      </w:r>
      <w:r>
        <w:rPr>
          <w:i/>
          <w:iCs/>
        </w:rPr>
        <w:t>Term</w:t>
      </w:r>
      <w:r>
        <w:rPr/>
        <w:t xml:space="preserve">:  The remaining term of the direct connection agreement.   </w:t>
      </w:r>
    </w:p>
    <w:p>
      <w:pPr>
        <w:pStyle w:val="Heading4"/>
        <w:keepNext w:val="false"/>
        <w:keepLines w:val="false"/>
        <w:widowControl/>
        <w:suppressAutoHyphens w:val="true"/>
        <w:rPr/>
      </w:pPr>
      <w:r>
        <w:rPr/>
        <w:t>c.</w:t>
        <w:tab/>
      </w:r>
      <w:r>
        <w:rPr>
          <w:i/>
          <w:iCs/>
        </w:rPr>
        <w:t>Rate</w:t>
      </w:r>
      <w:r>
        <w:rPr/>
        <w:t>:  The rate established in the direct connection agreement.  If this agreement does not specify a rate, then the rate will be established under one of the new transmission service rates.</w:t>
      </w:r>
    </w:p>
    <w:p>
      <w:pPr>
        <w:pStyle w:val="Heading4"/>
        <w:keepNext w:val="false"/>
        <w:keepLines w:val="false"/>
        <w:widowControl/>
        <w:suppressAutoHyphens w:val="true"/>
        <w:rPr/>
      </w:pPr>
      <w:r>
        <w:rPr/>
        <w:t>d.</w:t>
        <w:tab/>
      </w:r>
      <w:r>
        <w:rPr>
          <w:i/>
          <w:iCs/>
        </w:rPr>
        <w:t>Other terms and conditions</w:t>
      </w:r>
      <w:r>
        <w:rPr/>
        <w:t>:  Per the direct connection agreement, or if unspecified in that agreement, the applicable Gas Accord tariffs.</w:t>
      </w:r>
    </w:p>
    <w:p>
      <w:pPr>
        <w:pStyle w:val="Heading3"/>
        <w:widowControl/>
        <w:rPr/>
      </w:pPr>
      <w:r>
        <w:rPr/>
        <w:t>5.</w:t>
        <w:tab/>
        <w:t>Other Existing Agreements</w:t>
      </w:r>
    </w:p>
    <w:p>
      <w:pPr>
        <w:pStyle w:val="Heading4"/>
        <w:keepNext w:val="false"/>
        <w:keepLines w:val="false"/>
        <w:widowControl/>
        <w:suppressAutoHyphens w:val="true"/>
        <w:rPr/>
      </w:pPr>
      <w:r>
        <w:rPr/>
        <w:t>a.</w:t>
        <w:tab/>
        <w:t>Negotiable Interruptible Agreements</w:t>
      </w:r>
    </w:p>
    <w:p>
      <w:pPr>
        <w:pStyle w:val="Normal"/>
        <w:widowControl/>
        <w:ind w:start="1440" w:end="0"/>
        <w:rPr/>
      </w:pPr>
      <w:r>
        <w:rPr/>
        <w:t>PG&amp;E has a number of negotiable interruptible transportation agreements with terms that may extend into the Accord period.  PG&amp;E will continue to honor the terms and conditions, including the rate, negotiated for the original term of these contracts.</w:t>
      </w:r>
    </w:p>
    <w:p>
      <w:pPr>
        <w:pStyle w:val="Heading4"/>
        <w:keepNext w:val="false"/>
        <w:keepLines w:val="false"/>
        <w:widowControl/>
        <w:suppressAutoHyphens w:val="true"/>
        <w:rPr/>
      </w:pPr>
      <w:r>
        <w:rPr/>
        <w:t>b.</w:t>
        <w:tab/>
        <w:t>Crockett Cogeneration</w:t>
      </w:r>
    </w:p>
    <w:p>
      <w:pPr>
        <w:pStyle w:val="Normal"/>
        <w:widowControl/>
        <w:ind w:start="1440" w:end="0"/>
        <w:rPr/>
      </w:pPr>
      <w:r>
        <w:rPr/>
        <w:t>Crockett cogeneration has a negotiated contract which provides for transportation service at volumetric rates.  PG&amp;E will continue to honor the terms and conditions, including the rate, negotiated for the original term of this contract.  If any terms and conditions are unspecified by the existing contract agreement, then the applicable Gas Accord tariffs will apply.</w:t>
      </w:r>
    </w:p>
    <w:p>
      <w:pPr>
        <w:pStyle w:val="Heading2"/>
        <w:keepNext w:val="false"/>
        <w:keepLines w:val="false"/>
        <w:widowControl/>
        <w:suppressAutoHyphens w:val="true"/>
        <w:rPr/>
      </w:pPr>
      <w:r>
        <w:rPr/>
        <w:t>C.</w:t>
        <w:tab/>
        <w:t>Storage Services</w:t>
      </w:r>
    </w:p>
    <w:p>
      <w:pPr>
        <w:pStyle w:val="Normal"/>
        <w:widowControl/>
        <w:suppressAutoHyphens w:val="true"/>
        <w:rPr/>
      </w:pPr>
      <w:r>
        <w:rPr/>
      </w:r>
    </w:p>
    <w:p>
      <w:pPr>
        <w:pStyle w:val="Heading3"/>
        <w:keepNext w:val="false"/>
        <w:keepLines w:val="false"/>
        <w:widowControl/>
        <w:suppressAutoHyphens w:val="true"/>
        <w:spacing w:before="0" w:after="0"/>
        <w:rPr/>
      </w:pPr>
      <w:r>
        <w:rPr/>
        <w:t>1.</w:t>
        <w:tab/>
        <w:t>Storage Capacity Allocated To Core Customers, Including Core Transport Customers</w:t>
      </w:r>
    </w:p>
    <w:p>
      <w:pPr>
        <w:pStyle w:val="Heading4"/>
        <w:keepNext w:val="false"/>
        <w:keepLines w:val="false"/>
        <w:widowControl/>
        <w:suppressAutoHyphens w:val="true"/>
        <w:rPr/>
      </w:pPr>
      <w:r>
        <w:rPr/>
        <w:t>a.</w:t>
        <w:tab/>
        <w:t>Core service is allocated a portion of storage capacity to support the obligation to maintain highly reliable service under cold conditions.  See Section II.E.5 for allocations.</w:t>
      </w:r>
    </w:p>
    <w:p>
      <w:pPr>
        <w:pStyle w:val="Heading4"/>
        <w:keepNext w:val="false"/>
        <w:keepLines w:val="false"/>
        <w:widowControl/>
        <w:suppressAutoHyphens w:val="true"/>
        <w:rPr/>
      </w:pPr>
      <w:r>
        <w:rPr/>
        <w:t>b.</w:t>
        <w:tab/>
        <w:t xml:space="preserve">Core aggregators, on behalf of their core transport customers, will be allocated a pro rata share of the total core reservation based on the winter season throughput of their core customers.  </w:t>
      </w:r>
    </w:p>
    <w:p>
      <w:pPr>
        <w:pStyle w:val="Heading4"/>
        <w:keepNext w:val="false"/>
        <w:keepLines w:val="false"/>
        <w:widowControl/>
        <w:suppressAutoHyphens w:val="true"/>
        <w:rPr/>
      </w:pPr>
      <w:r>
        <w:rPr/>
        <w:t>c.</w:t>
        <w:tab/>
        <w:t xml:space="preserve">Costs for storage allocated to core customers, including core transport customers, will remain bundled in all core rates. </w:t>
      </w:r>
    </w:p>
    <w:p>
      <w:pPr>
        <w:pStyle w:val="Heading4"/>
        <w:keepNext w:val="false"/>
        <w:keepLines w:val="false"/>
        <w:widowControl/>
        <w:suppressAutoHyphens w:val="true"/>
        <w:rPr/>
      </w:pPr>
      <w:r>
        <w:rPr/>
        <w:t>d.</w:t>
        <w:tab/>
        <w:t xml:space="preserve">Any storage capacity that is not needed for core reliability may be brokered.  </w:t>
      </w:r>
    </w:p>
    <w:p>
      <w:pPr>
        <w:pStyle w:val="Heading4"/>
        <w:keepNext w:val="false"/>
        <w:keepLines w:val="false"/>
        <w:widowControl/>
        <w:suppressAutoHyphens w:val="true"/>
        <w:rPr/>
      </w:pPr>
      <w:r>
        <w:rPr/>
        <w:t>e.</w:t>
        <w:tab/>
        <w:t xml:space="preserve">PG&amp;E and core aggregators, on behalf of core customers, may elect to purchase more storage through the unbundled storage program.  </w:t>
      </w:r>
    </w:p>
    <w:p>
      <w:pPr>
        <w:pStyle w:val="Heading3"/>
        <w:keepNext w:val="false"/>
        <w:keepLines w:val="false"/>
        <w:widowControl/>
        <w:suppressAutoHyphens w:val="true"/>
        <w:rPr/>
      </w:pPr>
      <w:r>
        <w:rPr/>
        <w:t>2.</w:t>
        <w:tab/>
        <w:t>Storage Capacity Allocated to Pipeline Balancing Services</w:t>
      </w:r>
    </w:p>
    <w:p>
      <w:pPr>
        <w:pStyle w:val="Heading4"/>
        <w:keepNext w:val="false"/>
        <w:keepLines w:val="false"/>
        <w:widowControl/>
        <w:suppressAutoHyphens w:val="true"/>
        <w:rPr/>
      </w:pPr>
      <w:r>
        <w:rPr/>
        <w:t>a.</w:t>
        <w:tab/>
        <w:t>A portion of storage capacity is needed to support the balancing services.  See Section II.E.5 for the allocation.</w:t>
      </w:r>
    </w:p>
    <w:p>
      <w:pPr>
        <w:pStyle w:val="Heading4"/>
        <w:keepNext w:val="false"/>
        <w:keepLines w:val="false"/>
        <w:widowControl/>
        <w:suppressAutoHyphens w:val="true"/>
        <w:rPr/>
      </w:pPr>
      <w:r>
        <w:rPr/>
        <w:t>b.</w:t>
        <w:tab/>
        <w:t>Storage costs allocated to balancing services remain bundled in transmission rates.</w:t>
      </w:r>
    </w:p>
    <w:p>
      <w:pPr>
        <w:pStyle w:val="BodyText"/>
        <w:rPr/>
      </w:pPr>
      <w:r>
        <w:rPr/>
      </w:r>
    </w:p>
    <w:p>
      <w:pPr>
        <w:pStyle w:val="BodyText"/>
        <w:rPr/>
      </w:pPr>
      <w:r>
        <w:rPr/>
      </w:r>
    </w:p>
    <w:p>
      <w:pPr>
        <w:pStyle w:val="Heading3"/>
        <w:keepNext w:val="false"/>
        <w:keepLines w:val="false"/>
        <w:widowControl/>
        <w:suppressAutoHyphens w:val="true"/>
        <w:rPr/>
      </w:pPr>
      <w:r>
        <w:rPr/>
        <w:t>3.</w:t>
        <w:tab/>
        <w:t xml:space="preserve">Unbundled Storage Program </w:t>
      </w:r>
    </w:p>
    <w:p>
      <w:pPr>
        <w:pStyle w:val="Heading4"/>
        <w:keepNext w:val="false"/>
        <w:keepLines w:val="false"/>
        <w:widowControl/>
        <w:suppressAutoHyphens w:val="true"/>
        <w:rPr/>
      </w:pPr>
      <w:r>
        <w:rPr/>
        <w:t>a.</w:t>
        <w:tab/>
        <w:t>PG&amp;E will offer storage services to the market from its integrated storage facilities through the unbundled storage program.  The storage services will be offered from the capacity remaining, after the allocations for balancing provisions and storage for the core market.</w:t>
      </w:r>
    </w:p>
    <w:p>
      <w:pPr>
        <w:pStyle w:val="Heading4"/>
        <w:keepNext w:val="false"/>
        <w:keepLines w:val="false"/>
        <w:widowControl/>
        <w:suppressAutoHyphens w:val="true"/>
        <w:rPr/>
      </w:pPr>
      <w:r>
        <w:rPr/>
        <w:t>b.</w:t>
        <w:tab/>
        <w:t>Firm Storage Service (FS)</w:t>
      </w:r>
    </w:p>
    <w:p>
      <w:pPr>
        <w:pStyle w:val="Heading5"/>
        <w:keepNext w:val="false"/>
        <w:keepLines w:val="false"/>
        <w:widowControl/>
        <w:suppressAutoHyphens w:val="true"/>
        <w:rPr/>
      </w:pPr>
      <w:r>
        <w:rPr/>
        <w:t>i.</w:t>
        <w:tab/>
      </w:r>
      <w:r>
        <w:rPr>
          <w:i/>
          <w:iCs/>
        </w:rPr>
        <w:t>Definition</w:t>
      </w:r>
      <w:r>
        <w:rPr/>
        <w:t>:  Firm storage service.</w:t>
      </w:r>
    </w:p>
    <w:p>
      <w:pPr>
        <w:pStyle w:val="Heading5"/>
        <w:keepNext w:val="false"/>
        <w:keepLines w:val="false"/>
        <w:widowControl/>
        <w:suppressAutoHyphens w:val="true"/>
        <w:rPr/>
      </w:pPr>
      <w:r>
        <w:rPr/>
        <w:t>ii.</w:t>
        <w:tab/>
      </w:r>
      <w:r>
        <w:rPr>
          <w:i/>
          <w:iCs/>
        </w:rPr>
        <w:t>Minimum Term</w:t>
      </w:r>
      <w:r>
        <w:rPr/>
        <w:t>:  One year</w:t>
      </w:r>
    </w:p>
    <w:p>
      <w:pPr>
        <w:pStyle w:val="Heading5"/>
        <w:keepNext w:val="false"/>
        <w:keepLines w:val="false"/>
        <w:widowControl/>
        <w:suppressAutoHyphens w:val="true"/>
        <w:rPr/>
      </w:pPr>
      <w:r>
        <w:rPr/>
        <w:t>iii.</w:t>
        <w:tab/>
      </w:r>
      <w:r>
        <w:rPr>
          <w:i/>
          <w:iCs/>
        </w:rPr>
        <w:t>Rate</w:t>
      </w:r>
      <w:r>
        <w:rPr/>
        <w:t>:  Sub-functions are capacity (combined injection and inventory) and withdrawal.  Each sub-function is further divided into a reservation charge (fixed) component and a volumetric charge (variable) component.</w:t>
      </w:r>
    </w:p>
    <w:p>
      <w:pPr>
        <w:pStyle w:val="Heading5"/>
        <w:keepNext w:val="false"/>
        <w:keepLines w:val="false"/>
        <w:widowControl/>
        <w:suppressAutoHyphens w:val="true"/>
        <w:rPr/>
      </w:pPr>
      <w:r>
        <w:rPr/>
        <w:t>iv.</w:t>
        <w:tab/>
      </w:r>
      <w:r>
        <w:rPr>
          <w:i/>
          <w:iCs/>
        </w:rPr>
        <w:t>Conditions</w:t>
      </w:r>
      <w:r>
        <w:rPr/>
        <w:t>:  Requires injection during the defined summer storage season.</w:t>
      </w:r>
    </w:p>
    <w:p>
      <w:pPr>
        <w:pStyle w:val="Heading5"/>
        <w:keepNext w:val="false"/>
        <w:keepLines w:val="false"/>
        <w:widowControl/>
        <w:suppressAutoHyphens w:val="true"/>
        <w:rPr/>
      </w:pPr>
      <w:r>
        <w:rPr/>
        <w:t>v.</w:t>
        <w:tab/>
      </w:r>
      <w:r>
        <w:rPr>
          <w:i/>
          <w:iCs/>
        </w:rPr>
        <w:t>Features</w:t>
      </w:r>
      <w:r>
        <w:rPr/>
        <w:t>:  Imbalance trading and inventory transfers are available.</w:t>
      </w:r>
    </w:p>
    <w:p>
      <w:pPr>
        <w:pStyle w:val="Heading4"/>
        <w:keepNext w:val="false"/>
        <w:keepLines w:val="false"/>
        <w:widowControl/>
        <w:suppressAutoHyphens w:val="true"/>
        <w:rPr/>
      </w:pPr>
      <w:r>
        <w:rPr/>
        <w:t>c.</w:t>
        <w:tab/>
        <w:t>Negotiated Firm Storage Service (NFS)</w:t>
      </w:r>
    </w:p>
    <w:p>
      <w:pPr>
        <w:pStyle w:val="Heading5"/>
        <w:keepNext w:val="false"/>
        <w:keepLines w:val="false"/>
        <w:widowControl/>
        <w:suppressAutoHyphens w:val="true"/>
        <w:rPr/>
      </w:pPr>
      <w:r>
        <w:rPr/>
        <w:t>i.</w:t>
        <w:tab/>
      </w:r>
      <w:r>
        <w:rPr>
          <w:i/>
          <w:iCs/>
        </w:rPr>
        <w:t>Definition</w:t>
      </w:r>
      <w:r>
        <w:rPr/>
        <w:t>:  Firm storage service; customers may purchase inventory, injection, and withdrawal separately.</w:t>
      </w:r>
    </w:p>
    <w:p>
      <w:pPr>
        <w:pStyle w:val="Heading5"/>
        <w:keepNext w:val="false"/>
        <w:keepLines w:val="false"/>
        <w:widowControl/>
        <w:suppressAutoHyphens w:val="true"/>
        <w:rPr/>
      </w:pPr>
      <w:r>
        <w:rPr/>
        <w:t>ii.</w:t>
        <w:tab/>
      </w:r>
      <w:r>
        <w:rPr>
          <w:i/>
          <w:iCs/>
        </w:rPr>
        <w:t>Minimum Term</w:t>
      </w:r>
      <w:r>
        <w:rPr/>
        <w:t>:  One month</w:t>
      </w:r>
    </w:p>
    <w:p>
      <w:pPr>
        <w:pStyle w:val="Heading5"/>
        <w:keepNext w:val="false"/>
        <w:keepLines w:val="false"/>
        <w:widowControl/>
        <w:suppressAutoHyphens w:val="true"/>
        <w:rPr/>
      </w:pPr>
      <w:r>
        <w:rPr/>
        <w:t>iii.</w:t>
        <w:tab/>
      </w:r>
      <w:r>
        <w:rPr>
          <w:i/>
          <w:iCs/>
        </w:rPr>
        <w:t>Rate</w:t>
      </w:r>
      <w:r>
        <w:rPr/>
        <w:t>: The flexibility inherent in this storage offer could result in stranded facilities and PG&amp;E requires the opportunity to collect the value of its storage services.  Rates are negotiable above a short-run marginal price floor and capped at the price which will collect 100 percent of PG&amp;E’s total revenue requirement for the unbundled storage program for each of the three storage subfunctions (e.g., inventory, injection, or withdrawal).</w:t>
      </w:r>
    </w:p>
    <w:p>
      <w:pPr>
        <w:pStyle w:val="Heading5"/>
        <w:keepNext w:val="false"/>
        <w:keepLines w:val="false"/>
        <w:widowControl/>
        <w:suppressAutoHyphens w:val="true"/>
        <w:rPr/>
      </w:pPr>
      <w:r>
        <w:rPr/>
        <w:t>iv.</w:t>
        <w:tab/>
      </w:r>
      <w:r>
        <w:rPr>
          <w:i/>
          <w:iCs/>
        </w:rPr>
        <w:t>Features</w:t>
      </w:r>
      <w:r>
        <w:rPr/>
        <w:t>:  Imbalance trading, inventory transfers, and counter-cyclical operations are available.</w:t>
      </w:r>
    </w:p>
    <w:p>
      <w:pPr>
        <w:pStyle w:val="Heading5"/>
        <w:keepNext w:val="false"/>
        <w:keepLines w:val="false"/>
        <w:widowControl/>
        <w:suppressAutoHyphens w:val="true"/>
        <w:rPr/>
      </w:pPr>
      <w:r>
        <w:rPr/>
        <w:t>v.</w:t>
        <w:tab/>
        <w:t xml:space="preserve">Sections IX and X of General Order No. 96-A are waived by the Commission. </w:t>
      </w:r>
    </w:p>
    <w:p>
      <w:pPr>
        <w:pStyle w:val="Heading4"/>
        <w:keepNext w:val="false"/>
        <w:keepLines w:val="false"/>
        <w:widowControl/>
        <w:suppressAutoHyphens w:val="true"/>
        <w:rPr/>
      </w:pPr>
      <w:r>
        <w:rPr/>
        <w:t>d.</w:t>
        <w:tab/>
        <w:t>Negotiated As-available Storage Injection and Withdrawal Service (NAS)</w:t>
      </w:r>
    </w:p>
    <w:p>
      <w:pPr>
        <w:pStyle w:val="Heading5"/>
        <w:keepNext w:val="false"/>
        <w:keepLines w:val="false"/>
        <w:widowControl/>
        <w:suppressAutoHyphens w:val="true"/>
        <w:rPr/>
      </w:pPr>
      <w:r>
        <w:rPr/>
        <w:t>i.</w:t>
        <w:tab/>
      </w:r>
      <w:r>
        <w:rPr>
          <w:i/>
          <w:iCs/>
        </w:rPr>
        <w:t>Definition</w:t>
      </w:r>
      <w:r>
        <w:rPr/>
        <w:t>:  As-available storage service only available to customers with firm storage inventory.</w:t>
      </w:r>
    </w:p>
    <w:p>
      <w:pPr>
        <w:pStyle w:val="Heading5"/>
        <w:keepNext w:val="false"/>
        <w:keepLines w:val="false"/>
        <w:widowControl/>
        <w:suppressAutoHyphens w:val="true"/>
        <w:rPr/>
      </w:pPr>
      <w:r>
        <w:rPr/>
        <w:t>ii.</w:t>
        <w:tab/>
      </w:r>
      <w:r>
        <w:rPr>
          <w:i/>
          <w:iCs/>
        </w:rPr>
        <w:t>Minimum Term:</w:t>
      </w:r>
      <w:r>
        <w:rPr/>
        <w:t xml:space="preserve">  One day</w:t>
      </w:r>
    </w:p>
    <w:p>
      <w:pPr>
        <w:pStyle w:val="Heading5"/>
        <w:keepNext w:val="false"/>
        <w:keepLines w:val="false"/>
        <w:widowControl/>
        <w:suppressAutoHyphens w:val="true"/>
        <w:rPr/>
      </w:pPr>
      <w:r>
        <w:rPr/>
        <w:t>iii.</w:t>
        <w:tab/>
      </w:r>
      <w:r>
        <w:rPr>
          <w:i/>
          <w:iCs/>
        </w:rPr>
        <w:t>Rate</w:t>
      </w:r>
      <w:r>
        <w:rPr/>
        <w:t>:  Volumetric only rate design.  The flexibility inherent in this storage offer could result in stranded facilities and PG&amp;E requires the opportunity to collect the value of its storage services.  Rates are negotiable above a marginal price floor and capped at the price which will collect 100 percent of PG&amp;E’s total revenue requirement for the unbundled storage program for each of the three storage subfunctions (e.g., inventory, injection, or withdrawal).</w:t>
      </w:r>
    </w:p>
    <w:p>
      <w:pPr>
        <w:pStyle w:val="Heading5"/>
        <w:keepNext w:val="false"/>
        <w:keepLines w:val="false"/>
        <w:widowControl/>
        <w:suppressAutoHyphens w:val="true"/>
        <w:rPr/>
      </w:pPr>
      <w:r>
        <w:rPr/>
        <w:t>iv.</w:t>
        <w:tab/>
        <w:t xml:space="preserve">Sections IX and X of General Order No. 96-A are waived by the Commission. </w:t>
      </w:r>
    </w:p>
    <w:p>
      <w:pPr>
        <w:pStyle w:val="Heading3"/>
        <w:keepNext w:val="false"/>
        <w:keepLines w:val="false"/>
        <w:widowControl/>
        <w:suppressAutoHyphens w:val="true"/>
        <w:rPr/>
      </w:pPr>
      <w:r>
        <w:rPr/>
        <w:t>4.</w:t>
        <w:tab/>
        <w:t>PG&amp;E may also offer other customer-specific negotiated contracts.  Negotiated storage service contracts under NFS and NAS will not require submission to the CPUC for approval; however, any other negotiated storage service contracts will require submission to the CPUC for approval.</w:t>
      </w:r>
    </w:p>
    <w:p>
      <w:pPr>
        <w:pStyle w:val="Heading3"/>
        <w:keepNext w:val="false"/>
        <w:keepLines w:val="false"/>
        <w:widowControl/>
        <w:suppressAutoHyphens w:val="true"/>
        <w:rPr/>
      </w:pPr>
      <w:r>
        <w:rPr/>
        <w:t>5.</w:t>
        <w:tab/>
        <w:t>Depending on market interest, PG&amp;E is free to develop and offer additional storage services in the future.</w:t>
      </w:r>
    </w:p>
    <w:p>
      <w:pPr>
        <w:pStyle w:val="Heading2"/>
        <w:keepNext w:val="false"/>
        <w:keepLines w:val="false"/>
        <w:widowControl/>
        <w:suppressAutoHyphens w:val="true"/>
        <w:rPr/>
      </w:pPr>
      <w:r>
        <w:rPr/>
        <w:t>D.</w:t>
        <w:tab/>
        <w:t>Other Services</w:t>
      </w:r>
    </w:p>
    <w:p>
      <w:pPr>
        <w:pStyle w:val="Heading3"/>
        <w:keepNext w:val="false"/>
        <w:keepLines w:val="false"/>
        <w:widowControl/>
        <w:suppressAutoHyphens w:val="true"/>
        <w:rPr/>
      </w:pPr>
      <w:r>
        <w:rPr/>
        <w:t>1.</w:t>
        <w:tab/>
        <w:t>Parking (PARK) Services offered are identical to those approved by the CPUC on       June 26, 1996 (Advice 1949-G).</w:t>
      </w:r>
    </w:p>
    <w:p>
      <w:pPr>
        <w:pStyle w:val="Heading4"/>
        <w:keepNext w:val="false"/>
        <w:keepLines w:val="false"/>
        <w:widowControl/>
        <w:suppressAutoHyphens w:val="true"/>
        <w:rPr/>
      </w:pPr>
      <w:r>
        <w:rPr/>
        <w:t>a.</w:t>
        <w:tab/>
      </w:r>
      <w:r>
        <w:rPr>
          <w:i/>
          <w:iCs/>
        </w:rPr>
        <w:t>Definition</w:t>
      </w:r>
      <w:r>
        <w:rPr/>
        <w:t>:  As-available short-term parking service, using PG&amp;E’s transmission and storage system.</w:t>
      </w:r>
    </w:p>
    <w:p>
      <w:pPr>
        <w:pStyle w:val="Heading4"/>
        <w:keepNext w:val="false"/>
        <w:keepLines w:val="false"/>
        <w:widowControl/>
        <w:suppressAutoHyphens w:val="true"/>
        <w:rPr/>
      </w:pPr>
      <w:r>
        <w:rPr/>
        <w:t>b.</w:t>
        <w:tab/>
      </w:r>
      <w:r>
        <w:rPr>
          <w:i/>
          <w:iCs/>
        </w:rPr>
        <w:t>Term</w:t>
      </w:r>
      <w:r>
        <w:rPr/>
        <w:t>:  One day to one year.</w:t>
      </w:r>
    </w:p>
    <w:p>
      <w:pPr>
        <w:pStyle w:val="Heading4"/>
        <w:keepNext w:val="false"/>
        <w:keepLines w:val="false"/>
        <w:widowControl/>
        <w:suppressAutoHyphens w:val="true"/>
        <w:rPr/>
      </w:pPr>
      <w:r>
        <w:rPr/>
        <w:t>c.</w:t>
        <w:tab/>
      </w:r>
      <w:r>
        <w:rPr>
          <w:i/>
          <w:iCs/>
        </w:rPr>
        <w:t>Rate</w:t>
      </w:r>
      <w:r>
        <w:rPr/>
        <w:t>:  Negotiable, above a minimum transaction fee and capped at the daily and/or annual cost to cycle gas using Firm Storage Service.</w:t>
      </w:r>
    </w:p>
    <w:p>
      <w:pPr>
        <w:pStyle w:val="Heading4"/>
        <w:keepNext w:val="false"/>
        <w:keepLines w:val="false"/>
        <w:widowControl/>
        <w:suppressAutoHyphens w:val="true"/>
        <w:rPr/>
      </w:pPr>
      <w:r>
        <w:rPr/>
        <w:t>d.</w:t>
        <w:tab/>
      </w:r>
      <w:r>
        <w:rPr>
          <w:i/>
          <w:iCs/>
        </w:rPr>
        <w:t>Terms and Conditions</w:t>
      </w:r>
      <w:r>
        <w:rPr/>
        <w:t>:  Gas is parked and unparked at the same location.</w:t>
      </w:r>
    </w:p>
    <w:p>
      <w:pPr>
        <w:pStyle w:val="Heading4"/>
        <w:keepNext w:val="false"/>
        <w:keepLines w:val="false"/>
        <w:widowControl/>
        <w:suppressAutoHyphens w:val="true"/>
        <w:rPr/>
      </w:pPr>
      <w:r>
        <w:rPr/>
        <w:t>e.</w:t>
        <w:tab/>
      </w:r>
      <w:r>
        <w:rPr>
          <w:i/>
          <w:iCs/>
        </w:rPr>
        <w:t>Priority</w:t>
      </w:r>
      <w:r>
        <w:rPr/>
        <w:t>:  Lowest priority As-available service.</w:t>
      </w:r>
    </w:p>
    <w:p>
      <w:pPr>
        <w:pStyle w:val="Heading3"/>
        <w:keepNext w:val="false"/>
        <w:keepLines w:val="false"/>
        <w:widowControl/>
        <w:suppressAutoHyphens w:val="true"/>
        <w:rPr/>
      </w:pPr>
      <w:r>
        <w:rPr/>
        <w:t>2.</w:t>
        <w:tab/>
        <w:t>Lending (LEND) Services offered are identical to those approved by the CPUC on June 26, 1996  (Advice 1949-G).</w:t>
      </w:r>
    </w:p>
    <w:p>
      <w:pPr>
        <w:pStyle w:val="Heading4"/>
        <w:keepNext w:val="false"/>
        <w:keepLines w:val="false"/>
        <w:widowControl/>
        <w:suppressAutoHyphens w:val="true"/>
        <w:rPr/>
      </w:pPr>
      <w:r>
        <w:rPr/>
        <w:t>a.</w:t>
        <w:tab/>
      </w:r>
      <w:r>
        <w:rPr>
          <w:i/>
          <w:iCs/>
        </w:rPr>
        <w:t>Definition</w:t>
      </w:r>
      <w:r>
        <w:rPr/>
        <w:t>:  As-available short-term loan of gas using PG&amp;E’s  transmission and storage system.</w:t>
      </w:r>
    </w:p>
    <w:p>
      <w:pPr>
        <w:pStyle w:val="Heading4"/>
        <w:keepNext w:val="false"/>
        <w:keepLines w:val="false"/>
        <w:widowControl/>
        <w:suppressAutoHyphens w:val="true"/>
        <w:rPr/>
      </w:pPr>
      <w:r>
        <w:rPr/>
        <w:t>b.</w:t>
        <w:tab/>
      </w:r>
      <w:r>
        <w:rPr>
          <w:i/>
          <w:iCs/>
        </w:rPr>
        <w:t>Term</w:t>
      </w:r>
      <w:r>
        <w:rPr/>
        <w:t>:  One day to one year.</w:t>
      </w:r>
    </w:p>
    <w:p>
      <w:pPr>
        <w:pStyle w:val="Heading4"/>
        <w:keepNext w:val="false"/>
        <w:keepLines w:val="false"/>
        <w:widowControl/>
        <w:suppressAutoHyphens w:val="true"/>
        <w:rPr/>
      </w:pPr>
      <w:r>
        <w:rPr/>
        <w:t>c.</w:t>
        <w:tab/>
      </w:r>
      <w:r>
        <w:rPr>
          <w:i/>
          <w:iCs/>
        </w:rPr>
        <w:t>Rate</w:t>
      </w:r>
      <w:r>
        <w:rPr/>
        <w:t>:  Negotiable, above a minimum transaction fee and capped at the daily and/or annual cost to cycle gas using Firm Storage Service.</w:t>
      </w:r>
    </w:p>
    <w:p>
      <w:pPr>
        <w:pStyle w:val="Heading4"/>
        <w:keepNext w:val="false"/>
        <w:keepLines w:val="false"/>
        <w:widowControl/>
        <w:suppressAutoHyphens w:val="true"/>
        <w:rPr/>
      </w:pPr>
      <w:r>
        <w:rPr/>
        <w:t>d.</w:t>
        <w:tab/>
      </w:r>
      <w:r>
        <w:rPr>
          <w:i/>
          <w:iCs/>
        </w:rPr>
        <w:t>Terms and Conditions</w:t>
      </w:r>
      <w:r>
        <w:rPr/>
        <w:t>:  Gas is loaned and repaid at the same location.</w:t>
      </w:r>
    </w:p>
    <w:p>
      <w:pPr>
        <w:pStyle w:val="Heading4"/>
        <w:keepNext w:val="false"/>
        <w:keepLines w:val="false"/>
        <w:widowControl/>
        <w:suppressAutoHyphens w:val="true"/>
        <w:rPr/>
      </w:pPr>
      <w:r>
        <w:rPr/>
        <w:t>e.</w:t>
        <w:tab/>
      </w:r>
      <w:r>
        <w:rPr>
          <w:i/>
          <w:iCs/>
        </w:rPr>
        <w:t>Priority:</w:t>
      </w:r>
      <w:r>
        <w:rPr/>
        <w:t xml:space="preserve">  Lowest priority As-available service.</w:t>
      </w:r>
    </w:p>
    <w:p>
      <w:pPr>
        <w:pStyle w:val="Heading3"/>
        <w:keepNext w:val="false"/>
        <w:keepLines w:val="false"/>
        <w:widowControl/>
        <w:suppressAutoHyphens w:val="true"/>
        <w:rPr/>
      </w:pPr>
      <w:r>
        <w:rPr/>
        <w:t>3.</w:t>
        <w:tab/>
        <w:t>PG&amp;E may also offer other customer-specific negotiated contracts.  Negotiated  service contracts under PARK and LEND will not require submission to the CPUC for approval; however, any other negotiated service contracts will require submission to the CPUC for approval.</w:t>
      </w:r>
    </w:p>
    <w:p>
      <w:pPr>
        <w:pStyle w:val="Heading3"/>
        <w:keepNext w:val="false"/>
        <w:keepLines w:val="false"/>
        <w:widowControl/>
        <w:suppressAutoHyphens w:val="true"/>
        <w:rPr/>
      </w:pPr>
      <w:r>
        <w:rPr/>
        <w:t>4.</w:t>
        <w:tab/>
        <w:t>Other</w:t>
      </w:r>
    </w:p>
    <w:p>
      <w:pPr>
        <w:pStyle w:val="Normal"/>
        <w:widowControl/>
        <w:suppressAutoHyphens w:val="true"/>
        <w:ind w:start="1080" w:end="0"/>
        <w:rPr/>
      </w:pPr>
      <w:r>
        <w:rPr/>
        <w:t>Depending on market interest, PG&amp;E is free to develop and offer various additional services in the future.</w:t>
      </w:r>
    </w:p>
    <w:p>
      <w:pPr>
        <w:pStyle w:val="Heading2"/>
        <w:keepNext w:val="false"/>
        <w:keepLines w:val="false"/>
        <w:widowControl/>
        <w:suppressAutoHyphens w:val="true"/>
        <w:rPr/>
      </w:pPr>
      <w:r>
        <w:rPr/>
        <w:t>E.</w:t>
        <w:tab/>
        <w:t>General Terms and Conditions</w:t>
      </w:r>
    </w:p>
    <w:p>
      <w:pPr>
        <w:pStyle w:val="Heading3"/>
        <w:keepNext w:val="false"/>
        <w:keepLines w:val="false"/>
        <w:widowControl/>
        <w:suppressAutoHyphens w:val="true"/>
        <w:rPr/>
      </w:pPr>
      <w:r>
        <w:rPr/>
        <w:t>1.</w:t>
        <w:tab/>
        <w:t>These general terms and conditions will apply to PG&amp;E’s intrastate transmission and storage systems, and to third party storage providers located in PG&amp;E’s service territory who have an operating agreement and who have inter-connecting facilities with PG&amp;E.  Subscription to these services does not, in itself, subject the subscriber to CPUC jurisdiction.</w:t>
      </w:r>
    </w:p>
    <w:p>
      <w:pPr>
        <w:pStyle w:val="Heading3"/>
        <w:widowControl/>
        <w:rPr/>
      </w:pPr>
      <w:r>
        <w:rPr/>
        <w:t>2.</w:t>
        <w:tab/>
        <w:t>With the unbundling of transmission services, the crossover ban and the backbone credit are eliminated.  The following sections in PG&amp;E’s existing tariffs are removed along with other references and definitions as may be applicable:  Rule 21, Section H, “Scheduling Priority at Malin, Oregon”; Rule 21, Section I, “Self Identification of Malin, Oregon Receipts”; and Rule 22, “Backbone Credit Eligibility Criteria.”</w:t>
      </w:r>
      <w:r>
        <w:br w:type="page"/>
      </w:r>
    </w:p>
    <w:p>
      <w:pPr>
        <w:pStyle w:val="Heading3"/>
        <w:keepNext w:val="false"/>
        <w:keepLines w:val="false"/>
        <w:widowControl/>
        <w:suppressAutoHyphens w:val="true"/>
        <w:spacing w:before="0" w:after="0"/>
        <w:rPr/>
      </w:pPr>
      <w:r>
        <w:rPr/>
        <w:t>3.</w:t>
        <w:tab/>
        <w:t>Receipt Points By Path</w:t>
      </w:r>
    </w:p>
    <w:p>
      <w:pPr>
        <w:pStyle w:val="Heading4"/>
        <w:widowControl/>
        <w:rPr/>
      </w:pPr>
      <w:r>
        <w:rPr/>
        <w:t>a.</w:t>
        <w:tab/>
        <w:t>The receipt points by path are as follows:</w:t>
      </w:r>
    </w:p>
    <w:tbl>
      <w:tblPr>
        <w:tblW w:w="8820" w:type="dxa"/>
        <w:jc w:val="start"/>
        <w:tblInd w:w="1188" w:type="dxa"/>
        <w:tblLayout w:type="fixed"/>
        <w:tblCellMar>
          <w:top w:w="0" w:type="dxa"/>
          <w:start w:w="108" w:type="dxa"/>
          <w:bottom w:w="0" w:type="dxa"/>
          <w:end w:w="108" w:type="dxa"/>
        </w:tblCellMar>
      </w:tblPr>
      <w:tblGrid>
        <w:gridCol w:w="4410"/>
        <w:gridCol w:w="4410"/>
      </w:tblGrid>
      <w:tr>
        <w:trPr/>
        <w:tc>
          <w:tcPr>
            <w:tcW w:w="4410" w:type="dxa"/>
            <w:tcBorders/>
          </w:tcPr>
          <w:p>
            <w:pPr>
              <w:pStyle w:val="BodyText"/>
              <w:ind w:hanging="0" w:end="342"/>
              <w:rPr>
                <w:u w:val="single"/>
              </w:rPr>
            </w:pPr>
            <w:r>
              <w:rPr>
                <w:u w:val="single"/>
              </w:rPr>
              <w:t>Path</w:t>
            </w:r>
          </w:p>
        </w:tc>
        <w:tc>
          <w:tcPr>
            <w:tcW w:w="4410" w:type="dxa"/>
            <w:tcBorders/>
          </w:tcPr>
          <w:p>
            <w:pPr>
              <w:pStyle w:val="BodyText"/>
              <w:ind w:hanging="0" w:end="0"/>
              <w:rPr>
                <w:u w:val="single"/>
              </w:rPr>
            </w:pPr>
            <w:r>
              <w:rPr>
                <w:u w:val="single"/>
              </w:rPr>
              <w:t>Receipt Points</w:t>
              <w:tab/>
            </w:r>
          </w:p>
        </w:tc>
      </w:tr>
      <w:tr>
        <w:trPr/>
        <w:tc>
          <w:tcPr>
            <w:tcW w:w="4410" w:type="dxa"/>
            <w:tcBorders/>
          </w:tcPr>
          <w:p>
            <w:pPr>
              <w:pStyle w:val="Normal"/>
              <w:widowControl/>
              <w:ind w:end="342"/>
              <w:rPr/>
            </w:pPr>
            <w:r>
              <w:rPr/>
              <w:t>Malin to On-system for the Core</w:t>
            </w:r>
          </w:p>
          <w:p>
            <w:pPr>
              <w:pStyle w:val="Normal"/>
              <w:widowControl/>
              <w:ind w:end="342"/>
              <w:rPr/>
            </w:pPr>
            <w:r>
              <w:rPr/>
            </w:r>
          </w:p>
        </w:tc>
        <w:tc>
          <w:tcPr>
            <w:tcW w:w="4410" w:type="dxa"/>
            <w:tcBorders/>
          </w:tcPr>
          <w:p>
            <w:pPr>
              <w:pStyle w:val="Normal"/>
              <w:widowControl/>
              <w:rPr/>
            </w:pPr>
            <w:r>
              <w:rPr/>
              <w:t>Malin</w:t>
            </w:r>
          </w:p>
        </w:tc>
      </w:tr>
      <w:tr>
        <w:trPr/>
        <w:tc>
          <w:tcPr>
            <w:tcW w:w="4410" w:type="dxa"/>
            <w:tcBorders/>
          </w:tcPr>
          <w:p>
            <w:pPr>
              <w:pStyle w:val="Normal"/>
              <w:widowControl/>
              <w:ind w:end="342"/>
              <w:rPr/>
            </w:pPr>
            <w:r>
              <w:rPr/>
              <w:t>Malin to On-system</w:t>
            </w:r>
          </w:p>
          <w:p>
            <w:pPr>
              <w:pStyle w:val="Normal"/>
              <w:widowControl/>
              <w:ind w:end="342"/>
              <w:rPr/>
            </w:pPr>
            <w:r>
              <w:rPr/>
            </w:r>
          </w:p>
        </w:tc>
        <w:tc>
          <w:tcPr>
            <w:tcW w:w="4410" w:type="dxa"/>
            <w:tcBorders/>
          </w:tcPr>
          <w:p>
            <w:pPr>
              <w:pStyle w:val="Normal"/>
              <w:widowControl/>
              <w:rPr/>
            </w:pPr>
            <w:r>
              <w:rPr/>
              <w:t>Malin</w:t>
            </w:r>
          </w:p>
        </w:tc>
      </w:tr>
      <w:tr>
        <w:trPr/>
        <w:tc>
          <w:tcPr>
            <w:tcW w:w="4410" w:type="dxa"/>
            <w:tcBorders/>
          </w:tcPr>
          <w:p>
            <w:pPr>
              <w:pStyle w:val="Normal"/>
              <w:widowControl/>
              <w:ind w:end="342"/>
              <w:rPr/>
            </w:pPr>
            <w:r>
              <w:rPr/>
              <w:t>Topock to On-system</w:t>
            </w:r>
          </w:p>
          <w:p>
            <w:pPr>
              <w:pStyle w:val="Normal"/>
              <w:widowControl/>
              <w:ind w:end="342"/>
              <w:rPr/>
            </w:pPr>
            <w:r>
              <w:rPr/>
            </w:r>
          </w:p>
        </w:tc>
        <w:tc>
          <w:tcPr>
            <w:tcW w:w="4410" w:type="dxa"/>
            <w:tcBorders/>
          </w:tcPr>
          <w:p>
            <w:pPr>
              <w:pStyle w:val="Normal"/>
              <w:widowControl/>
              <w:rPr/>
            </w:pPr>
            <w:r>
              <w:rPr/>
              <w:t>Topock, Daggett, and Kern River Station</w:t>
            </w:r>
          </w:p>
        </w:tc>
      </w:tr>
      <w:tr>
        <w:trPr/>
        <w:tc>
          <w:tcPr>
            <w:tcW w:w="4410" w:type="dxa"/>
            <w:tcBorders/>
          </w:tcPr>
          <w:p>
            <w:pPr>
              <w:pStyle w:val="Normal"/>
              <w:widowControl/>
              <w:ind w:end="342"/>
              <w:rPr/>
            </w:pPr>
            <w:r>
              <w:rPr/>
              <w:t>California Production and Storage to On-system</w:t>
            </w:r>
          </w:p>
          <w:p>
            <w:pPr>
              <w:pStyle w:val="Normal"/>
              <w:widowControl/>
              <w:ind w:end="342"/>
              <w:rPr/>
            </w:pPr>
            <w:r>
              <w:rPr/>
            </w:r>
          </w:p>
        </w:tc>
        <w:tc>
          <w:tcPr>
            <w:tcW w:w="4410" w:type="dxa"/>
            <w:tcBorders/>
          </w:tcPr>
          <w:p>
            <w:pPr>
              <w:pStyle w:val="Normal"/>
              <w:widowControl/>
              <w:rPr/>
            </w:pPr>
            <w:r>
              <w:rPr/>
              <w:t xml:space="preserve">PG&amp;E interconnections with California gas production within PG&amp;E’s service territory, PG&amp;E’s storage facilities, or a third party’s storage facilities located in PG&amp;E’s service territory. </w:t>
            </w:r>
          </w:p>
          <w:p>
            <w:pPr>
              <w:pStyle w:val="Normal"/>
              <w:widowControl/>
              <w:rPr/>
            </w:pPr>
            <w:r>
              <w:rPr/>
            </w:r>
          </w:p>
        </w:tc>
      </w:tr>
      <w:tr>
        <w:trPr/>
        <w:tc>
          <w:tcPr>
            <w:tcW w:w="4410" w:type="dxa"/>
            <w:tcBorders/>
          </w:tcPr>
          <w:p>
            <w:pPr>
              <w:pStyle w:val="Normal"/>
              <w:widowControl/>
              <w:ind w:end="342"/>
              <w:rPr/>
            </w:pPr>
            <w:r>
              <w:rPr/>
              <w:t>Malin to Off-system</w:t>
            </w:r>
          </w:p>
          <w:p>
            <w:pPr>
              <w:pStyle w:val="Normal"/>
              <w:widowControl/>
              <w:ind w:end="342"/>
              <w:rPr/>
            </w:pPr>
            <w:r>
              <w:rPr/>
            </w:r>
          </w:p>
        </w:tc>
        <w:tc>
          <w:tcPr>
            <w:tcW w:w="4410" w:type="dxa"/>
            <w:tcBorders/>
          </w:tcPr>
          <w:p>
            <w:pPr>
              <w:pStyle w:val="Normal"/>
              <w:widowControl/>
              <w:rPr/>
            </w:pPr>
            <w:r>
              <w:rPr/>
              <w:t>Malin</w:t>
            </w:r>
          </w:p>
        </w:tc>
      </w:tr>
      <w:tr>
        <w:trPr/>
        <w:tc>
          <w:tcPr>
            <w:tcW w:w="4410" w:type="dxa"/>
            <w:tcBorders/>
          </w:tcPr>
          <w:p>
            <w:pPr>
              <w:pStyle w:val="Normal"/>
              <w:widowControl/>
              <w:ind w:end="342"/>
              <w:rPr/>
            </w:pPr>
            <w:r>
              <w:rPr/>
              <w:t>Topock to Off-system</w:t>
            </w:r>
          </w:p>
          <w:p>
            <w:pPr>
              <w:pStyle w:val="Normal"/>
              <w:widowControl/>
              <w:ind w:end="342"/>
              <w:rPr/>
            </w:pPr>
            <w:r>
              <w:rPr/>
            </w:r>
          </w:p>
        </w:tc>
        <w:tc>
          <w:tcPr>
            <w:tcW w:w="4410" w:type="dxa"/>
            <w:tcBorders/>
          </w:tcPr>
          <w:p>
            <w:pPr>
              <w:pStyle w:val="Normal"/>
              <w:widowControl/>
              <w:rPr/>
            </w:pPr>
            <w:r>
              <w:rPr/>
              <w:t>Topock, Daggett, and Kern River Station</w:t>
            </w:r>
          </w:p>
        </w:tc>
      </w:tr>
      <w:tr>
        <w:trPr/>
        <w:tc>
          <w:tcPr>
            <w:tcW w:w="4410" w:type="dxa"/>
            <w:tcBorders/>
          </w:tcPr>
          <w:p>
            <w:pPr>
              <w:pStyle w:val="Normal"/>
              <w:widowControl/>
              <w:ind w:end="342"/>
              <w:rPr/>
            </w:pPr>
            <w:r>
              <w:rPr/>
              <w:t>California Production, Storage, Market Center/Hub Services, and On-system Delivery Point Pools to Off-system</w:t>
            </w:r>
          </w:p>
          <w:p>
            <w:pPr>
              <w:pStyle w:val="Normal"/>
              <w:widowControl/>
              <w:ind w:end="342"/>
              <w:rPr/>
            </w:pPr>
            <w:r>
              <w:rPr/>
            </w:r>
          </w:p>
        </w:tc>
        <w:tc>
          <w:tcPr>
            <w:tcW w:w="4410" w:type="dxa"/>
            <w:tcBorders/>
          </w:tcPr>
          <w:p>
            <w:pPr>
              <w:pStyle w:val="Normal"/>
              <w:widowControl/>
              <w:rPr/>
            </w:pPr>
            <w:r>
              <w:rPr/>
              <w:t>PG&amp;E interconnections with California gas production within PG&amp;E’s service territory, PG&amp;E’s storage facilities, a third party’s storage facilities located in PG&amp;E’s service territory, PG&amp;E’s Market Center/Hub Services, or on-system delivery point pools.</w:t>
            </w:r>
          </w:p>
          <w:p>
            <w:pPr>
              <w:pStyle w:val="Normal"/>
              <w:widowControl/>
              <w:rPr/>
            </w:pPr>
            <w:r>
              <w:rPr/>
            </w:r>
          </w:p>
        </w:tc>
      </w:tr>
      <w:tr>
        <w:trPr/>
        <w:tc>
          <w:tcPr>
            <w:tcW w:w="4410" w:type="dxa"/>
            <w:tcBorders/>
          </w:tcPr>
          <w:p>
            <w:pPr>
              <w:pStyle w:val="Normal"/>
              <w:widowControl/>
              <w:ind w:end="342"/>
              <w:rPr/>
            </w:pPr>
            <w:r>
              <w:rPr/>
              <w:t>G-XF Firm Service</w:t>
            </w:r>
          </w:p>
        </w:tc>
        <w:tc>
          <w:tcPr>
            <w:tcW w:w="4410" w:type="dxa"/>
            <w:tcBorders/>
          </w:tcPr>
          <w:p>
            <w:pPr>
              <w:pStyle w:val="Normal"/>
              <w:widowControl/>
              <w:rPr/>
            </w:pPr>
            <w:r>
              <w:rPr/>
              <w:t>Malin</w:t>
            </w:r>
          </w:p>
        </w:tc>
      </w:tr>
    </w:tbl>
    <w:p>
      <w:pPr>
        <w:pStyle w:val="Heading4"/>
        <w:widowControl/>
        <w:rPr/>
      </w:pPr>
      <w:r>
        <w:rPr/>
        <w:t>b.</w:t>
        <w:tab/>
        <w:t>Alternate Receipt Points</w:t>
      </w:r>
    </w:p>
    <w:p>
      <w:pPr>
        <w:pStyle w:val="Normal"/>
        <w:widowControl/>
        <w:ind w:start="1440" w:end="0"/>
        <w:rPr/>
      </w:pPr>
      <w:r>
        <w:rPr/>
        <w:t>Alternate receipt points are allowed only within the transmission path contracted for by a shipper.</w:t>
      </w:r>
    </w:p>
    <w:p>
      <w:pPr>
        <w:pStyle w:val="Heading4"/>
        <w:widowControl/>
        <w:rPr/>
      </w:pPr>
      <w:r>
        <w:rPr/>
        <w:t>c.</w:t>
        <w:tab/>
        <w:t>New Receipt Points</w:t>
      </w:r>
    </w:p>
    <w:p>
      <w:pPr>
        <w:pStyle w:val="Normal"/>
        <w:widowControl/>
        <w:ind w:start="1440" w:end="0"/>
        <w:rPr/>
      </w:pPr>
      <w:r>
        <w:rPr/>
        <w:t>New receipt points may be requested from time to time by shippers.</w:t>
      </w:r>
    </w:p>
    <w:p>
      <w:pPr>
        <w:pStyle w:val="Normal"/>
        <w:widowControl/>
        <w:ind w:start="1440" w:end="0"/>
        <w:rPr/>
      </w:pPr>
      <w:r>
        <w:rPr/>
      </w:r>
    </w:p>
    <w:p>
      <w:pPr>
        <w:pStyle w:val="Heading3"/>
        <w:keepNext w:val="false"/>
        <w:keepLines w:val="false"/>
        <w:widowControl/>
        <w:suppressAutoHyphens w:val="true"/>
        <w:spacing w:before="0" w:after="0"/>
        <w:rPr/>
      </w:pPr>
      <w:r>
        <w:rPr/>
        <w:t>4.</w:t>
        <w:tab/>
        <w:t>Delivery Points</w:t>
      </w:r>
    </w:p>
    <w:p>
      <w:pPr>
        <w:pStyle w:val="Heading4"/>
        <w:widowControl/>
        <w:rPr/>
      </w:pPr>
      <w:r>
        <w:rPr/>
        <w:t>a.</w:t>
        <w:tab/>
        <w:t>On-system Deliveries</w:t>
      </w:r>
    </w:p>
    <w:p>
      <w:pPr>
        <w:pStyle w:val="Normal"/>
        <w:widowControl/>
        <w:ind w:start="1440" w:end="0"/>
        <w:rPr/>
      </w:pPr>
      <w:r>
        <w:rPr/>
        <w:t>On-system is defined as any point at which deliveries are made to, or for ultimate delivery to, PG&amp;E's distribution facilities, PG&amp;E's storage facilities, a third party's storage facilities located in PG&amp;E's service territory, or end-use or wholesale loads located in PG&amp;E's service territory.</w:t>
      </w:r>
    </w:p>
    <w:p>
      <w:pPr>
        <w:pStyle w:val="Heading4"/>
        <w:widowControl/>
        <w:rPr/>
      </w:pPr>
      <w:r>
        <w:rPr/>
        <w:t>b.</w:t>
        <w:tab/>
        <w:t>Off-system Deliveries</w:t>
      </w:r>
    </w:p>
    <w:p>
      <w:pPr>
        <w:pStyle w:val="Normal"/>
        <w:widowControl/>
        <w:ind w:start="1440" w:end="0"/>
        <w:rPr/>
      </w:pPr>
      <w:r>
        <w:rPr/>
        <w:t>Any interconnection for delivery outside of PG&amp;E’s service territory, including Topock, Daggett, Kern River Station, Malin, etc.</w:t>
      </w:r>
    </w:p>
    <w:p>
      <w:pPr>
        <w:pStyle w:val="Heading4"/>
        <w:widowControl/>
        <w:rPr/>
      </w:pPr>
      <w:r>
        <w:rPr/>
        <w:t>c.</w:t>
        <w:tab/>
        <w:t>G-XF Firm Service</w:t>
      </w:r>
    </w:p>
    <w:p>
      <w:pPr>
        <w:pStyle w:val="Normal"/>
        <w:widowControl/>
        <w:ind w:start="1440" w:end="0"/>
        <w:rPr/>
      </w:pPr>
      <w:r>
        <w:rPr/>
        <w:t>Delivery points are as specified in each shipper’s FTSA (Exhibit A).</w:t>
      </w:r>
    </w:p>
    <w:p>
      <w:pPr>
        <w:pStyle w:val="Heading3"/>
        <w:keepNext w:val="false"/>
        <w:keepLines w:val="false"/>
        <w:widowControl/>
        <w:suppressAutoHyphens w:val="true"/>
        <w:rPr/>
      </w:pPr>
      <w:r>
        <w:rPr/>
        <w:t>5.</w:t>
        <w:tab/>
        <w:t>Initial Allocation of Firm Intrastate Transmission Capacity</w:t>
      </w:r>
    </w:p>
    <w:p>
      <w:pPr>
        <w:pStyle w:val="Heading4"/>
        <w:widowControl/>
        <w:rPr/>
      </w:pPr>
      <w:r>
        <w:rPr/>
        <w:t>a.</w:t>
        <w:tab/>
        <w:t>Total intrastate capacity currently available for firm transmission services is:</w:t>
      </w:r>
    </w:p>
    <w:p>
      <w:pPr>
        <w:pStyle w:val="Normal"/>
        <w:widowControl/>
        <w:rPr/>
      </w:pPr>
      <w:r>
        <w:rPr/>
      </w:r>
    </w:p>
    <w:tbl>
      <w:tblPr>
        <w:tblW w:w="5580" w:type="dxa"/>
        <w:jc w:val="start"/>
        <w:tblInd w:w="2178" w:type="dxa"/>
        <w:tblLayout w:type="fixed"/>
        <w:tblCellMar>
          <w:top w:w="0" w:type="dxa"/>
          <w:start w:w="108" w:type="dxa"/>
          <w:bottom w:w="0" w:type="dxa"/>
          <w:end w:w="108" w:type="dxa"/>
        </w:tblCellMar>
      </w:tblPr>
      <w:tblGrid>
        <w:gridCol w:w="1800"/>
        <w:gridCol w:w="1890"/>
        <w:gridCol w:w="1890"/>
      </w:tblGrid>
      <w:tr>
        <w:trPr/>
        <w:tc>
          <w:tcPr>
            <w:tcW w:w="1800" w:type="dxa"/>
            <w:tcBorders/>
          </w:tcPr>
          <w:p>
            <w:pPr>
              <w:pStyle w:val="Normal"/>
              <w:widowControl/>
              <w:snapToGrid w:val="false"/>
              <w:rPr/>
            </w:pPr>
            <w:r>
              <w:rPr/>
            </w:r>
          </w:p>
        </w:tc>
        <w:tc>
          <w:tcPr>
            <w:tcW w:w="1890" w:type="dxa"/>
            <w:tcBorders/>
          </w:tcPr>
          <w:p>
            <w:pPr>
              <w:pStyle w:val="Normal"/>
              <w:widowControl/>
              <w:jc w:val="end"/>
              <w:rPr>
                <w:u w:val="single"/>
              </w:rPr>
            </w:pPr>
            <w:r>
              <w:rPr>
                <w:u w:val="single"/>
              </w:rPr>
              <w:t>MMcf/d</w:t>
            </w:r>
          </w:p>
        </w:tc>
        <w:tc>
          <w:tcPr>
            <w:tcW w:w="1890" w:type="dxa"/>
            <w:tcBorders/>
          </w:tcPr>
          <w:p>
            <w:pPr>
              <w:pStyle w:val="Normal"/>
              <w:widowControl/>
              <w:jc w:val="end"/>
              <w:rPr>
                <w:u w:val="single"/>
              </w:rPr>
            </w:pPr>
            <w:r>
              <w:rPr>
                <w:u w:val="single"/>
              </w:rPr>
              <w:t>Mdth/d</w:t>
            </w:r>
          </w:p>
        </w:tc>
      </w:tr>
      <w:tr>
        <w:trPr/>
        <w:tc>
          <w:tcPr>
            <w:tcW w:w="1800" w:type="dxa"/>
            <w:tcBorders/>
          </w:tcPr>
          <w:p>
            <w:pPr>
              <w:pStyle w:val="Normal"/>
              <w:widowControl/>
              <w:rPr/>
            </w:pPr>
            <w:r>
              <w:rPr/>
              <w:t>Malin:</w:t>
            </w:r>
          </w:p>
        </w:tc>
        <w:tc>
          <w:tcPr>
            <w:tcW w:w="1890" w:type="dxa"/>
            <w:tcBorders/>
          </w:tcPr>
          <w:p>
            <w:pPr>
              <w:pStyle w:val="Normal"/>
              <w:widowControl/>
              <w:jc w:val="end"/>
              <w:rPr/>
            </w:pPr>
            <w:r>
              <w:rPr/>
              <w:t>1,803</w:t>
            </w:r>
          </w:p>
        </w:tc>
        <w:tc>
          <w:tcPr>
            <w:tcW w:w="1890" w:type="dxa"/>
            <w:tcBorders/>
          </w:tcPr>
          <w:p>
            <w:pPr>
              <w:pStyle w:val="Normal"/>
              <w:widowControl/>
              <w:jc w:val="end"/>
              <w:rPr/>
            </w:pPr>
            <w:r>
              <w:rPr/>
              <w:t>1,830</w:t>
            </w:r>
          </w:p>
        </w:tc>
      </w:tr>
      <w:tr>
        <w:trPr/>
        <w:tc>
          <w:tcPr>
            <w:tcW w:w="1800" w:type="dxa"/>
            <w:tcBorders/>
          </w:tcPr>
          <w:p>
            <w:pPr>
              <w:pStyle w:val="Normal"/>
              <w:widowControl/>
              <w:rPr/>
            </w:pPr>
            <w:r>
              <w:rPr/>
              <w:t>Topock:</w:t>
            </w:r>
          </w:p>
        </w:tc>
        <w:tc>
          <w:tcPr>
            <w:tcW w:w="1890" w:type="dxa"/>
            <w:tcBorders/>
          </w:tcPr>
          <w:p>
            <w:pPr>
              <w:pStyle w:val="Normal"/>
              <w:widowControl/>
              <w:jc w:val="end"/>
              <w:rPr/>
            </w:pPr>
            <w:r>
              <w:rPr/>
              <w:t>1,140</w:t>
            </w:r>
          </w:p>
        </w:tc>
        <w:tc>
          <w:tcPr>
            <w:tcW w:w="1890" w:type="dxa"/>
            <w:tcBorders/>
          </w:tcPr>
          <w:p>
            <w:pPr>
              <w:pStyle w:val="Normal"/>
              <w:widowControl/>
              <w:jc w:val="end"/>
              <w:rPr/>
            </w:pPr>
            <w:r>
              <w:rPr/>
              <w:t xml:space="preserve">1,174 </w:t>
            </w:r>
          </w:p>
        </w:tc>
      </w:tr>
      <w:tr>
        <w:trPr/>
        <w:tc>
          <w:tcPr>
            <w:tcW w:w="1800" w:type="dxa"/>
            <w:tcBorders/>
          </w:tcPr>
          <w:p>
            <w:pPr>
              <w:pStyle w:val="Normal"/>
              <w:widowControl/>
              <w:rPr/>
            </w:pPr>
            <w:r>
              <w:rPr/>
              <w:t>California Gas</w:t>
            </w:r>
          </w:p>
        </w:tc>
        <w:tc>
          <w:tcPr>
            <w:tcW w:w="1890" w:type="dxa"/>
            <w:tcBorders/>
          </w:tcPr>
          <w:p>
            <w:pPr>
              <w:pStyle w:val="Normal"/>
              <w:widowControl/>
              <w:jc w:val="end"/>
              <w:rPr/>
            </w:pPr>
            <w:r>
              <w:rPr/>
              <w:t xml:space="preserve">200 </w:t>
            </w:r>
          </w:p>
        </w:tc>
        <w:tc>
          <w:tcPr>
            <w:tcW w:w="1890" w:type="dxa"/>
            <w:tcBorders/>
          </w:tcPr>
          <w:p>
            <w:pPr>
              <w:pStyle w:val="Normal"/>
              <w:widowControl/>
              <w:jc w:val="end"/>
              <w:rPr/>
            </w:pPr>
            <w:r>
              <w:rPr/>
              <w:t xml:space="preserve">192 </w:t>
            </w:r>
          </w:p>
        </w:tc>
      </w:tr>
    </w:tbl>
    <w:p>
      <w:pPr>
        <w:pStyle w:val="Normal"/>
        <w:widowControl/>
        <w:ind w:start="1440" w:end="0"/>
        <w:rPr/>
      </w:pPr>
      <w:r>
        <w:rPr/>
      </w:r>
    </w:p>
    <w:p>
      <w:pPr>
        <w:pStyle w:val="Normal"/>
        <w:widowControl/>
        <w:ind w:start="1440" w:end="0"/>
        <w:rPr/>
      </w:pPr>
      <w:r>
        <w:rPr/>
        <w:t>The Malin capacity consists of 990 MMcf/d (1,005 Mdth/d) from Line 400 and 813 MMcf/d (825 Mdth/d) from Line 401.</w:t>
      </w:r>
    </w:p>
    <w:p>
      <w:pPr>
        <w:pStyle w:val="Heading4"/>
        <w:keepNext w:val="false"/>
        <w:keepLines w:val="false"/>
        <w:widowControl/>
        <w:suppressAutoHyphens w:val="true"/>
        <w:rPr/>
      </w:pPr>
      <w:r>
        <w:rPr/>
        <w:t>b.</w:t>
        <w:tab/>
        <w:t>PG&amp;E’s retail core initially will be allocated the following quantities of firm transmission capacity:</w:t>
      </w:r>
    </w:p>
    <w:p>
      <w:pPr>
        <w:pStyle w:val="Normal"/>
        <w:widowControl/>
        <w:suppressAutoHyphens w:val="true"/>
        <w:ind w:hanging="720" w:start="2160" w:end="0"/>
        <w:rPr/>
      </w:pPr>
      <w:r>
        <w:rPr/>
        <w:t xml:space="preserve">  </w:t>
      </w:r>
      <w:r>
        <w:rPr/>
        <w:tab/>
        <w:tab/>
        <w:tab/>
        <w:t xml:space="preserve">Malin to          Topock  to </w:t>
      </w:r>
    </w:p>
    <w:p>
      <w:pPr>
        <w:pStyle w:val="Normal"/>
        <w:widowControl/>
        <w:suppressAutoHyphens w:val="true"/>
        <w:ind w:hanging="720" w:start="2160" w:end="0"/>
        <w:rPr/>
      </w:pPr>
      <w:r>
        <w:rPr/>
        <w:tab/>
        <w:tab/>
        <w:tab/>
      </w:r>
      <w:r>
        <w:rPr>
          <w:u w:val="single"/>
        </w:rPr>
        <w:t>On-system</w:t>
      </w:r>
      <w:r>
        <w:rPr/>
        <w:tab/>
      </w:r>
      <w:r>
        <w:rPr>
          <w:u w:val="single"/>
        </w:rPr>
        <w:t>On-system</w:t>
      </w:r>
      <w:r>
        <w:rPr/>
        <w:tab/>
      </w:r>
      <w:r>
        <w:rPr>
          <w:u w:val="single"/>
        </w:rPr>
        <w:t>California</w:t>
      </w:r>
    </w:p>
    <w:p>
      <w:pPr>
        <w:pStyle w:val="Normal"/>
        <w:widowControl/>
        <w:suppressAutoHyphens w:val="true"/>
        <w:ind w:hanging="720" w:start="2160" w:end="0"/>
        <w:rPr/>
      </w:pPr>
      <w:r>
        <w:rPr/>
      </w:r>
    </w:p>
    <w:p>
      <w:pPr>
        <w:pStyle w:val="Normal"/>
        <w:widowControl/>
        <w:suppressAutoHyphens w:val="true"/>
        <w:ind w:hanging="720" w:start="1440" w:end="0"/>
        <w:rPr/>
      </w:pPr>
      <w:r>
        <w:rPr/>
        <w:t xml:space="preserve">      </w:t>
      </w:r>
      <w:r>
        <w:rPr/>
        <w:t>Annual</w:t>
        <w:tab/>
        <w:t>MMcf/d</w:t>
        <w:tab/>
        <w:t xml:space="preserve">     600</w:t>
        <w:tab/>
        <w:t xml:space="preserve">                 150                  50</w:t>
      </w:r>
    </w:p>
    <w:p>
      <w:pPr>
        <w:pStyle w:val="Normal"/>
        <w:widowControl/>
        <w:suppressAutoHyphens w:val="true"/>
        <w:ind w:hanging="720" w:start="1440" w:end="0"/>
        <w:rPr/>
      </w:pPr>
      <w:r>
        <w:rPr/>
        <w:tab/>
        <w:t xml:space="preserve">        </w:t>
        <w:tab/>
        <w:t xml:space="preserve">Mdth/d </w:t>
        <w:tab/>
        <w:t xml:space="preserve">     609  </w:t>
        <w:tab/>
        <w:t xml:space="preserve">     155 </w:t>
        <w:tab/>
        <w:t xml:space="preserve">     48</w:t>
      </w:r>
    </w:p>
    <w:p>
      <w:pPr>
        <w:pStyle w:val="Heading4"/>
        <w:keepNext w:val="false"/>
        <w:keepLines w:val="false"/>
        <w:widowControl/>
        <w:suppressAutoHyphens w:val="true"/>
        <w:rPr/>
      </w:pPr>
      <w:r>
        <w:rPr/>
        <w:t>c.</w:t>
        <w:tab/>
        <w:t>PG&amp;E’s retail core will also hold additional seasonal winter capacity as follows:</w:t>
      </w:r>
    </w:p>
    <w:p>
      <w:pPr>
        <w:pStyle w:val="Normal"/>
        <w:widowControl/>
        <w:rPr/>
      </w:pPr>
      <w:r>
        <w:rPr/>
      </w:r>
    </w:p>
    <w:p>
      <w:pPr>
        <w:pStyle w:val="Normal"/>
        <w:widowControl/>
        <w:suppressAutoHyphens w:val="true"/>
        <w:ind w:hanging="720" w:start="2160" w:end="0"/>
        <w:rPr/>
      </w:pPr>
      <w:r>
        <w:rPr/>
        <w:tab/>
        <w:tab/>
        <w:tab/>
        <w:t xml:space="preserve">Malin to          Topock to </w:t>
      </w:r>
    </w:p>
    <w:p>
      <w:pPr>
        <w:pStyle w:val="Normal"/>
        <w:widowControl/>
        <w:suppressAutoHyphens w:val="true"/>
        <w:ind w:hanging="720" w:start="2160" w:end="0"/>
        <w:rPr/>
      </w:pPr>
      <w:r>
        <w:rPr/>
        <w:tab/>
        <w:tab/>
        <w:tab/>
      </w:r>
      <w:r>
        <w:rPr>
          <w:u w:val="single"/>
        </w:rPr>
        <w:t>On-system</w:t>
      </w:r>
      <w:r>
        <w:rPr/>
        <w:tab/>
      </w:r>
      <w:r>
        <w:rPr>
          <w:u w:val="single"/>
        </w:rPr>
        <w:t>On-system</w:t>
      </w:r>
      <w:r>
        <w:rPr/>
        <w:tab/>
      </w:r>
      <w:r>
        <w:rPr>
          <w:u w:val="single"/>
        </w:rPr>
        <w:t>California</w:t>
      </w:r>
    </w:p>
    <w:p>
      <w:pPr>
        <w:pStyle w:val="Normal"/>
        <w:widowControl/>
        <w:suppressAutoHyphens w:val="true"/>
        <w:ind w:hanging="720" w:start="2160" w:end="0"/>
        <w:rPr/>
      </w:pPr>
      <w:r>
        <w:rPr/>
        <w:tab/>
        <w:tab/>
        <w:tab/>
      </w:r>
    </w:p>
    <w:p>
      <w:pPr>
        <w:pStyle w:val="Normal"/>
        <w:widowControl/>
        <w:suppressAutoHyphens w:val="true"/>
        <w:ind w:hanging="720" w:start="1440" w:end="0"/>
        <w:rPr/>
      </w:pPr>
      <w:r>
        <w:rPr/>
        <w:t xml:space="preserve">      </w:t>
      </w:r>
      <w:r>
        <w:rPr/>
        <w:t>November and March</w:t>
      </w:r>
    </w:p>
    <w:p>
      <w:pPr>
        <w:pStyle w:val="Normal"/>
        <w:widowControl/>
        <w:suppressAutoHyphens w:val="true"/>
        <w:ind w:hanging="720" w:start="1440" w:end="0"/>
        <w:rPr/>
      </w:pPr>
      <w:r>
        <w:rPr/>
        <w:tab/>
        <w:tab/>
        <w:t>MMcf/d</w:t>
        <w:tab/>
        <w:t xml:space="preserve">         0</w:t>
        <w:tab/>
        <w:tab/>
        <w:t xml:space="preserve">     150</w:t>
        <w:tab/>
        <w:tab/>
        <w:t xml:space="preserve">       0</w:t>
      </w:r>
    </w:p>
    <w:p>
      <w:pPr>
        <w:pStyle w:val="Normal"/>
        <w:widowControl/>
        <w:suppressAutoHyphens w:val="true"/>
        <w:ind w:hanging="720" w:start="1440" w:end="0"/>
        <w:rPr/>
      </w:pPr>
      <w:r>
        <w:rPr/>
        <w:tab/>
        <w:t xml:space="preserve">        </w:t>
        <w:tab/>
        <w:t xml:space="preserve">Mdth/d </w:t>
        <w:tab/>
        <w:t xml:space="preserve">         0  </w:t>
        <w:tab/>
        <w:t xml:space="preserve">     155 </w:t>
        <w:tab/>
        <w:t xml:space="preserve">       0</w:t>
      </w:r>
    </w:p>
    <w:p>
      <w:pPr>
        <w:pStyle w:val="Normal"/>
        <w:widowControl/>
        <w:suppressAutoHyphens w:val="true"/>
        <w:ind w:hanging="720" w:start="2160" w:end="0"/>
        <w:rPr/>
      </w:pPr>
      <w:r>
        <w:rPr/>
      </w:r>
    </w:p>
    <w:p>
      <w:pPr>
        <w:pStyle w:val="Normal"/>
        <w:widowControl/>
        <w:suppressAutoHyphens w:val="true"/>
        <w:ind w:hanging="720" w:start="1440" w:end="0"/>
        <w:rPr/>
      </w:pPr>
      <w:r>
        <w:rPr/>
        <w:t xml:space="preserve">      </w:t>
      </w:r>
      <w:r>
        <w:rPr/>
        <w:t>December to February</w:t>
        <w:tab/>
      </w:r>
    </w:p>
    <w:p>
      <w:pPr>
        <w:pStyle w:val="Normal"/>
        <w:widowControl/>
        <w:suppressAutoHyphens w:val="true"/>
        <w:ind w:hanging="720" w:start="1440" w:end="0"/>
        <w:rPr/>
      </w:pPr>
      <w:r>
        <w:rPr/>
        <w:tab/>
        <w:tab/>
        <w:t>MMcf/d</w:t>
        <w:tab/>
        <w:t xml:space="preserve">         0</w:t>
        <w:tab/>
        <w:tab/>
        <w:t xml:space="preserve">     450</w:t>
        <w:tab/>
        <w:tab/>
        <w:t xml:space="preserve">       0</w:t>
      </w:r>
    </w:p>
    <w:p>
      <w:pPr>
        <w:pStyle w:val="Normal"/>
        <w:widowControl/>
        <w:suppressAutoHyphens w:val="true"/>
        <w:ind w:hanging="720" w:start="1440" w:end="0"/>
        <w:rPr/>
      </w:pPr>
      <w:r>
        <w:rPr/>
        <w:tab/>
        <w:t xml:space="preserve">        </w:t>
        <w:tab/>
        <w:t xml:space="preserve">Mdth/d </w:t>
        <w:tab/>
        <w:t xml:space="preserve">         0  </w:t>
        <w:tab/>
        <w:t xml:space="preserve">     464 </w:t>
        <w:tab/>
        <w:t xml:space="preserve">       0</w:t>
      </w:r>
    </w:p>
    <w:p>
      <w:pPr>
        <w:pStyle w:val="Heading4"/>
        <w:keepNext w:val="false"/>
        <w:keepLines w:val="false"/>
        <w:widowControl/>
        <w:suppressAutoHyphens w:val="true"/>
        <w:rPr/>
      </w:pPr>
      <w:r>
        <w:rPr/>
        <w:t>d.</w:t>
        <w:tab/>
        <w:t>The retail core capacity reservation on the Topock to on-system path (Line 300) and the California production path can be modified in ensuing BCAPs to account for changes in core requirements due to factors such as core aggregation, the termination of PG&amp;E’s California gas contracts, and the migration of core customers to noncore status.  These modifications will not take place prior to 2000.</w:t>
      </w:r>
    </w:p>
    <w:p>
      <w:pPr>
        <w:pStyle w:val="Heading4"/>
        <w:widowControl/>
        <w:rPr/>
      </w:pPr>
      <w:r>
        <w:rPr/>
        <w:t>e.</w:t>
        <w:tab/>
        <w:t>Capacity of up to 6.5 MMcf/d (6.6 Mdth/d) is available on the Malin to on-system path for existing wholesale customers on behalf of their core load.</w:t>
      </w:r>
    </w:p>
    <w:p>
      <w:pPr>
        <w:pStyle w:val="Heading4"/>
        <w:widowControl/>
        <w:rPr/>
      </w:pPr>
      <w:r>
        <w:rPr/>
        <w:t>f.</w:t>
        <w:tab/>
        <w:t xml:space="preserve">New services over the Malin paths will use capacity consisting of that portion of Line 400 capacity (383.5 MMcf/d; 389 Mdth/d) not reserved for the core, including wholesale, and that portion of Line 401 capacity (509 MMcf/d; </w:t>
        <w:br/>
        <w:t>517 Mdth/d) not reserved under long-term firm contracts with existing firm Expansion shippers.  This combined capacity is to be redesignated by the Commission as non-Expansion capacity, which shall be subject to “phased-in” rates and shall not be subject to the tariff or contract provisions and rights (including but not limited to the firm Expansion shippers’ “Uniform Terms of Service” rights) that apply to the Line 401 Expansion capacity reserved under long-term contracts.</w:t>
      </w:r>
    </w:p>
    <w:p>
      <w:pPr>
        <w:pStyle w:val="Heading4"/>
        <w:keepNext w:val="false"/>
        <w:keepLines w:val="false"/>
        <w:widowControl/>
        <w:suppressAutoHyphens w:val="true"/>
        <w:rPr/>
      </w:pPr>
      <w:r>
        <w:rPr/>
        <w:t>g.</w:t>
        <w:tab/>
        <w:t>PG&amp;E will conduct an open season among all creditworthy parties to award remaining intrastate firm transmission service for at least the minimum term and at the full tariff rate under the AFT, AFT-Off, or SFT service.  Firm capacity will first be awarded under the AFT and AFT-Off service.  Any remaining firm capacity will then be awarded under the SFT service.</w:t>
      </w:r>
    </w:p>
    <w:p>
      <w:pPr>
        <w:pStyle w:val="Heading4"/>
        <w:keepNext w:val="false"/>
        <w:keepLines w:val="false"/>
        <w:widowControl/>
        <w:suppressAutoHyphens w:val="true"/>
        <w:rPr/>
      </w:pPr>
      <w:r>
        <w:rPr/>
        <w:t>h.</w:t>
        <w:tab/>
        <w:t xml:space="preserve">If a particular path is oversubscribed in the open season, PG&amp;E will award available firm capacity based on PG&amp;E’s determination of the highest economic value of each bid to PG&amp;E’s gas transmission department, as determined by PG&amp;E. </w:t>
      </w:r>
    </w:p>
    <w:p>
      <w:pPr>
        <w:pStyle w:val="Heading3"/>
        <w:keepNext w:val="false"/>
        <w:keepLines w:val="false"/>
        <w:widowControl/>
        <w:suppressAutoHyphens w:val="true"/>
        <w:rPr/>
      </w:pPr>
      <w:r>
        <w:rPr/>
        <w:t>6.</w:t>
        <w:tab/>
        <w:t>Allocation of Storage Capacity</w:t>
      </w:r>
    </w:p>
    <w:p>
      <w:pPr>
        <w:pStyle w:val="Heading4"/>
        <w:keepNext w:val="false"/>
        <w:keepLines w:val="false"/>
        <w:widowControl/>
        <w:suppressAutoHyphens w:val="true"/>
        <w:rPr/>
      </w:pPr>
      <w:r>
        <w:rPr/>
        <w:t>a.</w:t>
        <w:tab/>
        <w:t>The following quantities of firm storage capacity will be allocated to PG&amp;E’s retail core customers, including core transport:</w:t>
      </w:r>
    </w:p>
    <w:p>
      <w:pPr>
        <w:pStyle w:val="BodyText"/>
        <w:rPr/>
      </w:pPr>
      <w:r>
        <w:rPr/>
        <w:tab/>
      </w:r>
      <w:r>
        <w:rPr>
          <w:u w:val="single"/>
        </w:rPr>
        <w:t>Inventory</w:t>
      </w:r>
      <w:r>
        <w:rPr/>
        <w:tab/>
        <w:tab/>
        <w:tab/>
      </w:r>
      <w:r>
        <w:rPr>
          <w:u w:val="single"/>
        </w:rPr>
        <w:t>Injection</w:t>
      </w:r>
      <w:r>
        <w:rPr/>
        <w:tab/>
        <w:tab/>
        <w:tab/>
      </w:r>
      <w:r>
        <w:rPr>
          <w:u w:val="single"/>
        </w:rPr>
        <w:t>Withdrawal</w:t>
      </w:r>
    </w:p>
    <w:p>
      <w:pPr>
        <w:pStyle w:val="Normal"/>
        <w:widowControl/>
        <w:rPr/>
      </w:pPr>
      <w:r>
        <w:rPr/>
        <w:tab/>
        <w:tab/>
        <w:t>32.8 Bcf</w:t>
        <w:tab/>
        <w:tab/>
        <w:tab/>
        <w:t>93 - 209 MMcf/d</w:t>
        <w:tab/>
        <w:tab/>
        <w:t>951 - 1,228 MMcf/d</w:t>
      </w:r>
    </w:p>
    <w:p>
      <w:pPr>
        <w:pStyle w:val="Normal"/>
        <w:widowControl/>
        <w:rPr/>
      </w:pPr>
      <w:r>
        <w:rPr/>
        <w:tab/>
        <w:tab/>
        <w:t>33.5 MMdth</w:t>
        <w:tab/>
        <w:tab/>
        <w:tab/>
        <w:t>95 - 213 Mdth/d</w:t>
        <w:tab/>
        <w:tab/>
        <w:t>970 - 1,253 Mdth/d</w:t>
      </w:r>
      <w:r>
        <w:br w:type="page"/>
      </w:r>
    </w:p>
    <w:p>
      <w:pPr>
        <w:pStyle w:val="Heading4"/>
        <w:keepNext w:val="false"/>
        <w:keepLines w:val="false"/>
        <w:widowControl/>
        <w:suppressAutoHyphens w:val="true"/>
        <w:rPr/>
      </w:pPr>
      <w:r>
        <w:rPr/>
        <w:t>b.</w:t>
        <w:tab/>
        <w:t xml:space="preserve">The following quantities of firm storage capacity will be allocated to system load balancing: </w:t>
      </w:r>
    </w:p>
    <w:p>
      <w:pPr>
        <w:pStyle w:val="BodyText"/>
        <w:rPr/>
      </w:pPr>
      <w:r>
        <w:rPr/>
        <w:tab/>
      </w:r>
      <w:r>
        <w:rPr>
          <w:u w:val="single"/>
        </w:rPr>
        <w:t>Inventory</w:t>
      </w:r>
      <w:r>
        <w:rPr/>
        <w:tab/>
        <w:tab/>
        <w:tab/>
      </w:r>
      <w:r>
        <w:rPr>
          <w:u w:val="single"/>
        </w:rPr>
        <w:t>Injection</w:t>
      </w:r>
      <w:r>
        <w:rPr/>
        <w:tab/>
        <w:tab/>
        <w:tab/>
      </w:r>
      <w:r>
        <w:rPr>
          <w:u w:val="single"/>
        </w:rPr>
        <w:t>Withdrawal</w:t>
      </w:r>
    </w:p>
    <w:p>
      <w:pPr>
        <w:pStyle w:val="Normal"/>
        <w:widowControl/>
        <w:ind w:start="1440" w:end="0"/>
        <w:rPr/>
      </w:pPr>
      <w:r>
        <w:rPr/>
        <w:t xml:space="preserve">2.2 Bcf </w:t>
        <w:tab/>
        <w:tab/>
        <w:tab/>
        <w:t>50 MMcf/d</w:t>
        <w:tab/>
        <w:tab/>
        <w:tab/>
        <w:t>70 MMcf/d</w:t>
      </w:r>
    </w:p>
    <w:p>
      <w:pPr>
        <w:pStyle w:val="Normal"/>
        <w:widowControl/>
        <w:rPr/>
      </w:pPr>
      <w:r>
        <w:rPr/>
        <w:tab/>
        <w:tab/>
        <w:t>2.24 MMdth</w:t>
        <w:tab/>
        <w:tab/>
        <w:tab/>
        <w:t>51 Mdth/d</w:t>
        <w:tab/>
        <w:tab/>
        <w:tab/>
        <w:t>71 Mdth/d</w:t>
      </w:r>
    </w:p>
    <w:p>
      <w:pPr>
        <w:pStyle w:val="Heading4"/>
        <w:widowControl/>
        <w:rPr/>
      </w:pPr>
      <w:r>
        <w:rPr/>
        <w:t>c.</w:t>
        <w:tab/>
        <w:t>The following quantities of storage capacity will be allocated to the unbundled storage program:</w:t>
      </w:r>
    </w:p>
    <w:p>
      <w:pPr>
        <w:pStyle w:val="BodyText"/>
        <w:rPr/>
      </w:pPr>
      <w:r>
        <w:rPr/>
        <w:tab/>
      </w:r>
      <w:r>
        <w:rPr>
          <w:u w:val="single"/>
        </w:rPr>
        <w:t>Inventory</w:t>
      </w:r>
      <w:r>
        <w:rPr/>
        <w:tab/>
        <w:tab/>
        <w:tab/>
      </w:r>
      <w:r>
        <w:rPr>
          <w:u w:val="single"/>
        </w:rPr>
        <w:t>Injection</w:t>
      </w:r>
      <w:r>
        <w:rPr/>
        <w:tab/>
        <w:tab/>
        <w:tab/>
      </w:r>
      <w:r>
        <w:rPr>
          <w:u w:val="single"/>
        </w:rPr>
        <w:t>Withdrawal</w:t>
      </w:r>
    </w:p>
    <w:p>
      <w:pPr>
        <w:pStyle w:val="Normal"/>
        <w:widowControl/>
        <w:suppressAutoHyphens w:val="true"/>
        <w:ind w:start="1800" w:end="0"/>
        <w:rPr>
          <w:u w:val="single"/>
        </w:rPr>
      </w:pPr>
      <w:r>
        <w:rPr>
          <w:u w:val="single"/>
        </w:rPr>
      </w:r>
    </w:p>
    <w:p>
      <w:pPr>
        <w:pStyle w:val="Normal"/>
        <w:widowControl/>
        <w:ind w:start="1440" w:end="0"/>
        <w:rPr/>
      </w:pPr>
      <w:r>
        <w:rPr/>
        <w:t xml:space="preserve">4.7 Bcf </w:t>
        <w:tab/>
        <w:tab/>
        <w:tab/>
        <w:t>13 - 30 MMcf/d</w:t>
        <w:tab/>
        <w:tab/>
        <w:t>136 - 175 MMcf/d</w:t>
      </w:r>
    </w:p>
    <w:p>
      <w:pPr>
        <w:pStyle w:val="Normal"/>
        <w:widowControl/>
        <w:ind w:start="1440" w:end="0"/>
        <w:rPr/>
      </w:pPr>
      <w:r>
        <w:rPr/>
        <w:t>4.79 MMdth</w:t>
        <w:tab/>
        <w:tab/>
        <w:tab/>
        <w:t>13 - 30 Mdth/d</w:t>
        <w:tab/>
        <w:tab/>
        <w:t>139 - 179 Mdth/d</w:t>
      </w:r>
    </w:p>
    <w:p>
      <w:pPr>
        <w:pStyle w:val="Normal"/>
        <w:widowControl/>
        <w:ind w:start="1440" w:end="0"/>
        <w:rPr/>
      </w:pPr>
      <w:r>
        <w:rPr/>
      </w:r>
    </w:p>
    <w:p>
      <w:pPr>
        <w:pStyle w:val="Normal"/>
        <w:widowControl/>
        <w:ind w:start="1440" w:end="0"/>
        <w:rPr/>
      </w:pPr>
      <w:r>
        <w:rPr/>
        <w:t>Volumes are subject to change pursuant to operating conditions.  Future fluctuations or changes in PG&amp;E's injection and/or withdrawal capabilities during the Gas Accord period will be assigned or absorbed by the unbundled storage program, except for changes in storage capabilities required on behalf of core customers served by PG&amp;E.</w:t>
      </w:r>
    </w:p>
    <w:p>
      <w:pPr>
        <w:pStyle w:val="Heading4"/>
        <w:keepNext w:val="false"/>
        <w:keepLines w:val="false"/>
        <w:widowControl/>
        <w:suppressAutoHyphens w:val="true"/>
        <w:rPr/>
      </w:pPr>
      <w:r>
        <w:rPr/>
        <w:t>d.</w:t>
        <w:tab/>
        <w:t xml:space="preserve">PG&amp;E will conduct an open season among all creditworthy parties to award remaining firm storage service for at least the minimum term and at the full tariff rate for Firm Storage Service. </w:t>
      </w:r>
    </w:p>
    <w:p>
      <w:pPr>
        <w:pStyle w:val="Heading4"/>
        <w:keepNext w:val="false"/>
        <w:keepLines w:val="false"/>
        <w:widowControl/>
        <w:suppressAutoHyphens w:val="true"/>
        <w:rPr/>
      </w:pPr>
      <w:r>
        <w:rPr/>
        <w:t>e.</w:t>
        <w:tab/>
        <w:t xml:space="preserve">If Firm Storage Service is oversubscribed in the open season, PG&amp;E will award available firm storage capacity based on PG&amp;E’s determination of the highest economic value of each bid to PG&amp;E’s gas transmission department, as determined by PG&amp;E. </w:t>
      </w:r>
    </w:p>
    <w:p>
      <w:pPr>
        <w:pStyle w:val="Heading3"/>
        <w:keepNext w:val="false"/>
        <w:keepLines w:val="false"/>
        <w:widowControl/>
        <w:suppressAutoHyphens w:val="true"/>
        <w:rPr/>
      </w:pPr>
      <w:r>
        <w:rPr/>
        <w:t>7.</w:t>
        <w:tab/>
        <w:t>Subsequent Allocation of Intrastate Transmission and Storage Capacity</w:t>
      </w:r>
    </w:p>
    <w:p>
      <w:pPr>
        <w:pStyle w:val="Heading4"/>
        <w:keepNext w:val="false"/>
        <w:keepLines w:val="false"/>
        <w:widowControl/>
        <w:suppressAutoHyphens w:val="true"/>
        <w:rPr/>
      </w:pPr>
      <w:r>
        <w:rPr/>
        <w:t>a.</w:t>
        <w:tab/>
        <w:t xml:space="preserve">After the open season for transmission and storage capacity, any remaining capacity will be available for subscription under the Firm, Negotiated Firm, or As-available services on an on-going basis. </w:t>
      </w:r>
    </w:p>
    <w:p>
      <w:pPr>
        <w:pStyle w:val="Heading4"/>
        <w:keepNext w:val="false"/>
        <w:keepLines w:val="false"/>
        <w:widowControl/>
        <w:suppressAutoHyphens w:val="true"/>
        <w:rPr/>
      </w:pPr>
      <w:r>
        <w:rPr/>
        <w:t>b.</w:t>
        <w:tab/>
        <w:t>Customers may request negotiated rates at less than maximum rates.  PG&amp;E will not be required to sell capacity to any shipper at less than the full tariff rate; however, at PG&amp;E’s sole option, capacity may be awarded based on offers that represent the highest economic value to PG&amp;E, as determined by PG&amp;E.</w:t>
      </w:r>
    </w:p>
    <w:p>
      <w:pPr>
        <w:pStyle w:val="BodyText"/>
        <w:rPr/>
      </w:pPr>
      <w:r>
        <w:rPr/>
      </w:r>
    </w:p>
    <w:p>
      <w:pPr>
        <w:pStyle w:val="BodyText"/>
        <w:rPr/>
      </w:pPr>
      <w:r>
        <w:rPr/>
      </w:r>
    </w:p>
    <w:p>
      <w:pPr>
        <w:pStyle w:val="Heading3"/>
        <w:keepNext w:val="false"/>
        <w:keepLines w:val="false"/>
        <w:widowControl/>
        <w:suppressAutoHyphens w:val="true"/>
        <w:rPr/>
      </w:pPr>
      <w:r>
        <w:rPr/>
        <w:t>8.</w:t>
        <w:tab/>
        <w:t>Contract Assignment</w:t>
      </w:r>
    </w:p>
    <w:p>
      <w:pPr>
        <w:pStyle w:val="Heading4"/>
        <w:keepNext w:val="false"/>
        <w:keepLines w:val="false"/>
        <w:widowControl/>
        <w:suppressAutoHyphens w:val="true"/>
        <w:rPr/>
      </w:pPr>
      <w:r>
        <w:rPr/>
        <w:t>a.</w:t>
        <w:tab/>
        <w:t>Unless the shipper’s contract states otherwise, all transmission and storage contracts are assignable.  Such assignments may consist of all or part of the shipper’s contract quantity and all or part of the shipper’s remaining contract term.</w:t>
      </w:r>
    </w:p>
    <w:p>
      <w:pPr>
        <w:pStyle w:val="Heading4"/>
        <w:keepNext w:val="false"/>
        <w:keepLines w:val="false"/>
        <w:widowControl/>
        <w:suppressAutoHyphens w:val="true"/>
        <w:rPr/>
      </w:pPr>
      <w:r>
        <w:rPr/>
        <w:t>b.</w:t>
        <w:tab/>
        <w:t>Contract assignments are subject to the following requirements:</w:t>
      </w:r>
    </w:p>
    <w:p>
      <w:pPr>
        <w:pStyle w:val="Heading5"/>
        <w:keepNext w:val="false"/>
        <w:keepLines w:val="false"/>
        <w:widowControl/>
        <w:suppressAutoHyphens w:val="true"/>
        <w:rPr/>
      </w:pPr>
      <w:r>
        <w:rPr/>
        <w:t>i.</w:t>
        <w:tab/>
        <w:t>Assignors must notify PG&amp;E in advance of their assignments.</w:t>
      </w:r>
    </w:p>
    <w:p>
      <w:pPr>
        <w:pStyle w:val="Heading5"/>
        <w:keepNext w:val="false"/>
        <w:keepLines w:val="false"/>
        <w:widowControl/>
        <w:suppressAutoHyphens w:val="true"/>
        <w:rPr/>
      </w:pPr>
      <w:r>
        <w:rPr/>
        <w:t>ii.</w:t>
        <w:tab/>
        <w:t>The assignee must satisfy PG&amp;E’s creditworthiness requirements described in  Section II.E.9.  Alternatively, the assignor may, at its option, waive the creditworthiness requirements applicable to the assignee, in which case the assignor shall be secondarily liable for non-performance by the assignee.  If an assignor exercises this option, it must demonstrate to PG&amp;E’s satisfaction that it remains creditworthy itself.</w:t>
      </w:r>
    </w:p>
    <w:p>
      <w:pPr>
        <w:pStyle w:val="Heading4"/>
        <w:keepNext w:val="false"/>
        <w:keepLines w:val="false"/>
        <w:widowControl/>
        <w:suppressAutoHyphens w:val="true"/>
        <w:rPr/>
      </w:pPr>
      <w:r>
        <w:rPr/>
        <w:t>c.</w:t>
        <w:tab/>
        <w:t>To encourage assignments and development of an active secondary market, PG&amp;E will maintain a posting board similar to PG&amp;E’s existing “Energy Marketplace” that contract holders may use, at their option.  PG&amp;E is willing to work with others to establish new or modify existing mechanisms, including electronic bulletin boards, that encourage development of an active secondary market.</w:t>
      </w:r>
    </w:p>
    <w:p>
      <w:pPr>
        <w:pStyle w:val="Heading3"/>
        <w:keepNext w:val="false"/>
        <w:keepLines w:val="false"/>
        <w:widowControl/>
        <w:suppressAutoHyphens w:val="true"/>
        <w:rPr/>
      </w:pPr>
      <w:r>
        <w:rPr/>
        <w:t>9.</w:t>
        <w:tab/>
        <w:t>Creditworthiness</w:t>
      </w:r>
    </w:p>
    <w:p>
      <w:pPr>
        <w:pStyle w:val="Heading4"/>
        <w:keepNext w:val="false"/>
        <w:keepLines w:val="false"/>
        <w:widowControl/>
        <w:suppressAutoHyphens w:val="true"/>
        <w:rPr/>
      </w:pPr>
      <w:r>
        <w:rPr/>
        <w:t>a.</w:t>
        <w:tab/>
        <w:t>An entity requesting service must demonstrate creditworthiness before receiving service.  Additionally, an entity receiving service under a long-term (one year or longer) contract may be subject to periodic re-evaluations of its creditworthiness.</w:t>
      </w:r>
    </w:p>
    <w:p>
      <w:pPr>
        <w:pStyle w:val="Heading4"/>
        <w:keepNext w:val="false"/>
        <w:keepLines w:val="false"/>
        <w:widowControl/>
        <w:suppressAutoHyphens w:val="true"/>
        <w:rPr/>
      </w:pPr>
      <w:r>
        <w:rPr/>
        <w:t>b.</w:t>
        <w:tab/>
        <w:t>An entity requesting service must provide the following to PG&amp;E in order for PG&amp;E to evaluate its creditworthiness:</w:t>
      </w:r>
    </w:p>
    <w:p>
      <w:pPr>
        <w:pStyle w:val="Heading5"/>
        <w:keepNext w:val="false"/>
        <w:keepLines w:val="false"/>
        <w:widowControl/>
        <w:suppressAutoHyphens w:val="true"/>
        <w:rPr/>
      </w:pPr>
      <w:r>
        <w:rPr/>
        <w:t>i.</w:t>
        <w:tab/>
        <w:t xml:space="preserve">Most recent annual report; </w:t>
      </w:r>
    </w:p>
    <w:p>
      <w:pPr>
        <w:pStyle w:val="Heading5"/>
        <w:keepNext w:val="false"/>
        <w:keepLines w:val="false"/>
        <w:widowControl/>
        <w:suppressAutoHyphens w:val="true"/>
        <w:rPr/>
      </w:pPr>
      <w:r>
        <w:rPr/>
        <w:t>ii.</w:t>
        <w:tab/>
        <w:t>Most recent SEC Form 10-K;</w:t>
      </w:r>
    </w:p>
    <w:p>
      <w:pPr>
        <w:pStyle w:val="Heading5"/>
        <w:keepNext w:val="false"/>
        <w:keepLines w:val="false"/>
        <w:widowControl/>
        <w:suppressAutoHyphens w:val="true"/>
        <w:rPr/>
      </w:pPr>
      <w:r>
        <w:rPr/>
        <w:t>iii.</w:t>
        <w:tab/>
        <w:t>If SEC Form 10-K is unavailable, substitute audited annual financial statements (including a balance sheet, income statement, and cash flow statement), or</w:t>
      </w:r>
    </w:p>
    <w:p>
      <w:pPr>
        <w:pStyle w:val="Heading5"/>
        <w:keepNext w:val="false"/>
        <w:keepLines w:val="false"/>
        <w:widowControl/>
        <w:suppressAutoHyphens w:val="true"/>
        <w:rPr/>
      </w:pPr>
      <w:r>
        <w:rPr/>
        <w:t>iv.</w:t>
        <w:tab/>
        <w:t xml:space="preserve">If audited financial statements are unavailable, substitute unaudited financial statements (including a balance sheet, income statement, and cash flow statement) accompanied by an attestation by the providing entity’s Chief Financial Officer that the information reflected in the unaudited statements is true and correct and a fair representation of the entity’s financial condition; </w:t>
      </w:r>
    </w:p>
    <w:p>
      <w:pPr>
        <w:pStyle w:val="Heading5"/>
        <w:keepNext w:val="false"/>
        <w:keepLines w:val="false"/>
        <w:widowControl/>
        <w:suppressAutoHyphens w:val="true"/>
        <w:rPr/>
      </w:pPr>
      <w:r>
        <w:rPr/>
        <w:t>v.</w:t>
        <w:tab/>
        <w:t xml:space="preserve">Most recent quarterly or monthly financial statements (including a balance sheet, income statement, cash flow statement, and contingencies). </w:t>
      </w:r>
    </w:p>
    <w:p>
      <w:pPr>
        <w:pStyle w:val="Heading4"/>
        <w:keepNext w:val="false"/>
        <w:keepLines w:val="false"/>
        <w:widowControl/>
        <w:suppressAutoHyphens w:val="true"/>
        <w:rPr/>
      </w:pPr>
      <w:r>
        <w:rPr/>
        <w:t>c.</w:t>
        <w:tab/>
        <w:t>PG&amp;E will use the items above, in conjunction with the entity’s service request or service level, to determine the maximum amount of credit PG&amp;E can offer the entity.</w:t>
      </w:r>
    </w:p>
    <w:p>
      <w:pPr>
        <w:pStyle w:val="Heading4"/>
        <w:keepNext w:val="false"/>
        <w:keepLines w:val="false"/>
        <w:widowControl/>
        <w:suppressAutoHyphens w:val="true"/>
        <w:rPr/>
      </w:pPr>
      <w:r>
        <w:rPr/>
        <w:t>d.</w:t>
        <w:tab/>
        <w:t>If an entity is unable to demonstrate creditworthiness through the materials listed in Section b, PG&amp;E may request additional evidence of creditworthiness, in which event the entity may elect to provide one of the following:</w:t>
      </w:r>
    </w:p>
    <w:p>
      <w:pPr>
        <w:pStyle w:val="Heading5"/>
        <w:keepNext w:val="false"/>
        <w:keepLines w:val="false"/>
        <w:widowControl/>
        <w:suppressAutoHyphens w:val="true"/>
        <w:rPr/>
      </w:pPr>
      <w:r>
        <w:rPr/>
        <w:t>i.</w:t>
        <w:tab/>
        <w:t xml:space="preserve">an irrevocable letter of credit in form, substance and amount satisfactory to PG&amp;E; </w:t>
      </w:r>
    </w:p>
    <w:p>
      <w:pPr>
        <w:pStyle w:val="Heading5"/>
        <w:keepNext w:val="false"/>
        <w:keepLines w:val="false"/>
        <w:widowControl/>
        <w:suppressAutoHyphens w:val="true"/>
        <w:rPr/>
      </w:pPr>
      <w:r>
        <w:rPr/>
        <w:t>ii.</w:t>
        <w:tab/>
        <w:t xml:space="preserve">a guarantee, in form and substance satisfactory to PG&amp;E, executed by a person PG&amp;E deems to be creditworthy, of the entity’s performance of its obligations to PG&amp;E; or </w:t>
      </w:r>
    </w:p>
    <w:p>
      <w:pPr>
        <w:pStyle w:val="Heading5"/>
        <w:keepNext w:val="false"/>
        <w:keepLines w:val="false"/>
        <w:widowControl/>
        <w:suppressAutoHyphens w:val="true"/>
        <w:rPr/>
      </w:pPr>
      <w:r>
        <w:rPr/>
        <w:t>iii.</w:t>
        <w:tab/>
        <w:t>such other form of security as the entity may agree to provide and as may be acceptable to PG&amp;E.</w:t>
      </w:r>
    </w:p>
    <w:p>
      <w:pPr>
        <w:pStyle w:val="Heading4"/>
        <w:keepNext w:val="false"/>
        <w:keepLines w:val="false"/>
        <w:widowControl/>
        <w:suppressAutoHyphens w:val="true"/>
        <w:rPr/>
      </w:pPr>
      <w:r>
        <w:rPr/>
        <w:t>e.</w:t>
        <w:tab/>
        <w:t>PG&amp;E will treat all financial statements provided to it as confidential.</w:t>
      </w:r>
    </w:p>
    <w:p>
      <w:pPr>
        <w:pStyle w:val="Heading4"/>
        <w:keepNext w:val="false"/>
        <w:keepLines w:val="false"/>
        <w:widowControl/>
        <w:suppressAutoHyphens w:val="true"/>
        <w:rPr/>
      </w:pPr>
      <w:r>
        <w:rPr/>
        <w:t>f.</w:t>
        <w:tab/>
        <w:t>PG&amp;E will continue to oversee aggregators’ creditworthiness, pursuant to PG&amp;E’s Gas Rule 23 - Gas Aggregation Service for Core Transport Customers.</w:t>
      </w:r>
    </w:p>
    <w:p>
      <w:pPr>
        <w:pStyle w:val="Heading3"/>
        <w:keepNext w:val="false"/>
        <w:keepLines w:val="false"/>
        <w:widowControl/>
        <w:suppressAutoHyphens w:val="true"/>
        <w:rPr/>
      </w:pPr>
      <w:r>
        <w:rPr/>
        <w:t>10.</w:t>
        <w:tab/>
        <w:t>Priority of Service</w:t>
      </w:r>
    </w:p>
    <w:p>
      <w:pPr>
        <w:pStyle w:val="Heading4"/>
        <w:keepNext w:val="false"/>
        <w:keepLines w:val="false"/>
        <w:widowControl/>
        <w:suppressAutoHyphens w:val="true"/>
        <w:rPr/>
      </w:pPr>
      <w:r>
        <w:rPr/>
        <w:t>a.</w:t>
        <w:tab/>
        <w:t>The current Receipt Point Capacity Allocation rules will change to reflect the following priorities.</w:t>
      </w:r>
    </w:p>
    <w:p>
      <w:pPr>
        <w:pStyle w:val="Heading4"/>
        <w:keepNext w:val="false"/>
        <w:keepLines w:val="false"/>
        <w:widowControl/>
        <w:suppressAutoHyphens w:val="true"/>
        <w:rPr/>
      </w:pPr>
      <w:r>
        <w:rPr/>
        <w:t>b.</w:t>
        <w:tab/>
        <w:t>Scheduling Priority at Transmission Receipt Points (in the following order)</w:t>
      </w:r>
    </w:p>
    <w:p>
      <w:pPr>
        <w:pStyle w:val="Heading5"/>
        <w:widowControl/>
        <w:rPr/>
      </w:pPr>
      <w:r>
        <w:rPr/>
        <w:t>i.</w:t>
        <w:tab/>
        <w:t>Firm Intrastate Transmission:  All firm service at all receipt points on a defined transmission path is treated equally (pro rata allocation of nominations if necessary).</w:t>
      </w:r>
    </w:p>
    <w:p>
      <w:pPr>
        <w:pStyle w:val="Heading5"/>
        <w:widowControl/>
        <w:rPr/>
      </w:pPr>
      <w:r>
        <w:rPr/>
        <w:t>ii.</w:t>
        <w:tab/>
        <w:t>As-available Intrastate Transmission:  Scheduled according to contract price.</w:t>
      </w:r>
    </w:p>
    <w:p>
      <w:pPr>
        <w:pStyle w:val="Heading4"/>
        <w:keepNext w:val="false"/>
        <w:keepLines w:val="false"/>
        <w:widowControl/>
        <w:suppressAutoHyphens w:val="true"/>
        <w:rPr/>
      </w:pPr>
      <w:r>
        <w:rPr/>
        <w:t>c.</w:t>
        <w:tab/>
        <w:t>Scheduling Priority at Transmission Delivery Points (in the following order):</w:t>
      </w:r>
    </w:p>
    <w:p>
      <w:pPr>
        <w:pStyle w:val="Heading5"/>
        <w:keepNext w:val="false"/>
        <w:keepLines w:val="false"/>
        <w:widowControl/>
        <w:rPr/>
      </w:pPr>
      <w:r>
        <w:rPr/>
        <w:t>i.</w:t>
        <w:tab/>
        <w:t>Firm Intrastate Transmission:  All firm service at a given delivery point is treated equally (pro rata allocation of nominations if necessary).</w:t>
      </w:r>
    </w:p>
    <w:p>
      <w:pPr>
        <w:pStyle w:val="Heading5"/>
        <w:keepNext w:val="false"/>
        <w:keepLines w:val="false"/>
        <w:widowControl/>
        <w:rPr/>
      </w:pPr>
      <w:r>
        <w:rPr/>
        <w:t>ii.</w:t>
        <w:tab/>
        <w:t>As-available Intrastate Transmission:  Scheduled according to contract price.</w:t>
      </w:r>
    </w:p>
    <w:p>
      <w:pPr>
        <w:pStyle w:val="Heading4"/>
        <w:widowControl/>
        <w:rPr/>
      </w:pPr>
      <w:r>
        <w:rPr/>
        <w:t>d.</w:t>
        <w:tab/>
        <w:t>Scheduling Priority To Storage for Injection</w:t>
      </w:r>
    </w:p>
    <w:p>
      <w:pPr>
        <w:pStyle w:val="Heading5"/>
        <w:widowControl/>
        <w:rPr/>
      </w:pPr>
      <w:r>
        <w:rPr/>
        <w:t>i.</w:t>
        <w:tab/>
        <w:t>Transportation priority to storage is determined by the underlying intrastate transmission contract.</w:t>
      </w:r>
    </w:p>
    <w:p>
      <w:pPr>
        <w:pStyle w:val="Heading5"/>
        <w:widowControl/>
        <w:rPr/>
      </w:pPr>
      <w:r>
        <w:rPr/>
        <w:t>ii.</w:t>
        <w:tab/>
        <w:t>Injection priority at PG&amp;E’s storage interconnection is determined by the storage contract:</w:t>
      </w:r>
    </w:p>
    <w:p>
      <w:pPr>
        <w:pStyle w:val="Normal"/>
        <w:widowControl/>
        <w:numPr>
          <w:ilvl w:val="0"/>
          <w:numId w:val="2"/>
        </w:numPr>
        <w:tabs>
          <w:tab w:val="clear" w:pos="720"/>
          <w:tab w:val="left" w:pos="0" w:leader="none"/>
        </w:tabs>
        <w:ind w:hanging="720" w:start="2880" w:end="0"/>
        <w:rPr/>
      </w:pPr>
      <w:r>
        <w:rPr/>
        <w:t>PG&amp;E Firm Storage Service:  All firm service treated equally (pro rata allocation of nominations if necessary).</w:t>
      </w:r>
    </w:p>
    <w:p>
      <w:pPr>
        <w:pStyle w:val="Normal"/>
        <w:widowControl/>
        <w:numPr>
          <w:ilvl w:val="0"/>
          <w:numId w:val="2"/>
        </w:numPr>
        <w:tabs>
          <w:tab w:val="clear" w:pos="720"/>
          <w:tab w:val="left" w:pos="0" w:leader="none"/>
        </w:tabs>
        <w:ind w:hanging="360" w:start="2880" w:end="0"/>
        <w:rPr/>
      </w:pPr>
      <w:r>
        <w:rPr/>
        <w:t>PG&amp;E As-available Storage Service:  Scheduled according to contract price.</w:t>
      </w:r>
    </w:p>
    <w:p>
      <w:pPr>
        <w:pStyle w:val="Heading4"/>
        <w:widowControl/>
        <w:rPr/>
      </w:pPr>
      <w:r>
        <w:rPr/>
        <w:t>e.</w:t>
        <w:tab/>
        <w:t>Scheduling Priority From Storage for Withdrawal</w:t>
      </w:r>
    </w:p>
    <w:p>
      <w:pPr>
        <w:pStyle w:val="Heading5"/>
        <w:widowControl/>
        <w:rPr/>
      </w:pPr>
      <w:r>
        <w:rPr/>
        <w:t>i.</w:t>
        <w:tab/>
        <w:t>Transportation priority from storage to the delivery point is determined by the underlying intrastate transportation contract.</w:t>
      </w:r>
    </w:p>
    <w:p>
      <w:pPr>
        <w:pStyle w:val="Heading5"/>
        <w:widowControl/>
        <w:rPr/>
      </w:pPr>
      <w:r>
        <w:rPr/>
        <w:t>ii.</w:t>
        <w:tab/>
        <w:t>Withdrawal priority at PG&amp;E’s storage interconnection is determined by the storage contract.</w:t>
      </w:r>
    </w:p>
    <w:p>
      <w:pPr>
        <w:pStyle w:val="Normal"/>
        <w:widowControl/>
        <w:numPr>
          <w:ilvl w:val="0"/>
          <w:numId w:val="3"/>
        </w:numPr>
        <w:tabs>
          <w:tab w:val="clear" w:pos="720"/>
          <w:tab w:val="left" w:pos="0" w:leader="none"/>
        </w:tabs>
        <w:ind w:hanging="720" w:start="2880" w:end="0"/>
        <w:rPr/>
      </w:pPr>
      <w:r>
        <w:rPr/>
        <w:t>PG&amp;E Firm Storage Service:  All firm service treated equally (pro rata allocation of nominations if necessary).</w:t>
      </w:r>
    </w:p>
    <w:p>
      <w:pPr>
        <w:pStyle w:val="Normal"/>
        <w:widowControl/>
        <w:numPr>
          <w:ilvl w:val="0"/>
          <w:numId w:val="3"/>
        </w:numPr>
        <w:tabs>
          <w:tab w:val="clear" w:pos="720"/>
          <w:tab w:val="left" w:pos="0" w:leader="none"/>
        </w:tabs>
        <w:ind w:hanging="360" w:start="2880" w:end="0"/>
        <w:rPr/>
      </w:pPr>
      <w:r>
        <w:rPr/>
        <w:t>PG&amp;E As-available Storage Service:  Scheduled according to contract price.</w:t>
      </w:r>
    </w:p>
    <w:p>
      <w:pPr>
        <w:pStyle w:val="Heading4"/>
        <w:widowControl/>
        <w:rPr/>
      </w:pPr>
      <w:r>
        <w:rPr/>
        <w:t>f.</w:t>
        <w:tab/>
        <w:t>Over-Nomination Provision</w:t>
      </w:r>
    </w:p>
    <w:p>
      <w:pPr>
        <w:pStyle w:val="Normal"/>
        <w:widowControl/>
        <w:ind w:start="1440" w:end="0"/>
        <w:rPr/>
      </w:pPr>
      <w:r>
        <w:rPr/>
        <w:t xml:space="preserve">PG&amp;E will develop a tariff provision to discourage nominations in excess of actual available supply (over-nomination) at a constrained receipt or delivery point. </w:t>
      </w:r>
    </w:p>
    <w:p>
      <w:pPr>
        <w:pStyle w:val="Heading3"/>
        <w:keepNext w:val="false"/>
        <w:keepLines w:val="false"/>
        <w:widowControl/>
        <w:suppressAutoHyphens w:val="true"/>
        <w:rPr/>
      </w:pPr>
      <w:r>
        <w:rPr/>
        <w:t>11.</w:t>
        <w:tab/>
        <w:t>Local Constraints</w:t>
      </w:r>
    </w:p>
    <w:p>
      <w:pPr>
        <w:pStyle w:val="Heading4"/>
        <w:keepNext w:val="false"/>
        <w:keepLines w:val="false"/>
        <w:widowControl/>
        <w:suppressAutoHyphens w:val="true"/>
        <w:rPr/>
      </w:pPr>
      <w:r>
        <w:rPr/>
        <w:t>a.</w:t>
        <w:tab/>
        <w:t>PG&amp;E will take whatever steps it determines are operationally necessary in the event a constraint on local transmission or distribution threatens service to customers.  This includes curtailment of noncore customers.</w:t>
      </w:r>
    </w:p>
    <w:p>
      <w:pPr>
        <w:pStyle w:val="Heading4"/>
        <w:keepNext w:val="false"/>
        <w:keepLines w:val="false"/>
        <w:widowControl/>
        <w:suppressAutoHyphens w:val="true"/>
        <w:rPr/>
      </w:pPr>
      <w:r>
        <w:rPr/>
        <w:t>b.</w:t>
        <w:tab/>
        <w:t>To the extent feasible, PG&amp;E will use the transmission system diversion procedures to prioritize noncore customers in the affected service area.</w:t>
      </w:r>
    </w:p>
    <w:p>
      <w:pPr>
        <w:pStyle w:val="Heading4"/>
        <w:keepNext w:val="false"/>
        <w:keepLines w:val="false"/>
        <w:widowControl/>
        <w:suppressAutoHyphens w:val="true"/>
        <w:rPr/>
      </w:pPr>
      <w:r>
        <w:rPr/>
        <w:t>c.</w:t>
        <w:tab/>
        <w:t>In the event of an Emergency Flow Order (EFO) due to a local constraint, EFO penalties may apply, but involuntary diversion penalties will not apply.</w:t>
      </w:r>
    </w:p>
    <w:p>
      <w:pPr>
        <w:pStyle w:val="BodyText"/>
        <w:rPr/>
      </w:pPr>
      <w:r>
        <w:rPr/>
      </w:r>
    </w:p>
    <w:p>
      <w:pPr>
        <w:pStyle w:val="BodyText"/>
        <w:rPr/>
      </w:pPr>
      <w:r>
        <w:rPr/>
      </w:r>
    </w:p>
    <w:p>
      <w:pPr>
        <w:pStyle w:val="Heading3"/>
        <w:keepNext w:val="false"/>
        <w:keepLines w:val="false"/>
        <w:widowControl/>
        <w:suppressAutoHyphens w:val="true"/>
        <w:rPr/>
      </w:pPr>
      <w:r>
        <w:rPr/>
        <w:t>12.</w:t>
        <w:tab/>
        <w:t>Service Reliability and Diversion Procedures</w:t>
      </w:r>
    </w:p>
    <w:p>
      <w:pPr>
        <w:pStyle w:val="Heading4"/>
        <w:keepNext w:val="false"/>
        <w:keepLines w:val="false"/>
        <w:widowControl/>
        <w:suppressAutoHyphens w:val="true"/>
        <w:rPr/>
      </w:pPr>
      <w:r>
        <w:rPr/>
        <w:t>a.</w:t>
        <w:tab/>
        <w:t>When operational conditions exist such that supply is insufficient to meet demand and delivery to end-users is threatened, the diversion of supply may be used to ensure continued gas delivery to core end-users.  EFO provisions will apply under these conditions (see Section II.E.13).  If a noncore end-user’s supply is diverted, either voluntarily or involuntarily, then that end-user must curtail its use of natural gas.  If a core end-user’s supply is diverted, then that customer must pay any penalties if it continues to use gas, as referenced later in this Section.</w:t>
      </w:r>
    </w:p>
    <w:p>
      <w:pPr>
        <w:pStyle w:val="Heading4"/>
        <w:keepNext w:val="false"/>
        <w:keepLines w:val="false"/>
        <w:widowControl/>
        <w:suppressAutoHyphens w:val="true"/>
        <w:rPr/>
      </w:pPr>
      <w:r>
        <w:rPr/>
        <w:t>b.</w:t>
        <w:tab/>
        <w:t>The following diversion procedures will apply to ensure service reliability to core end-users.  PG&amp;E’s core procurement department and core aggregators, on behalf of core customers, will use:</w:t>
      </w:r>
    </w:p>
    <w:p>
      <w:pPr>
        <w:pStyle w:val="Heading5"/>
        <w:keepNext w:val="false"/>
        <w:keepLines w:val="false"/>
        <w:widowControl/>
        <w:suppressAutoHyphens w:val="true"/>
        <w:rPr/>
      </w:pPr>
      <w:r>
        <w:rPr/>
        <w:t>i.</w:t>
        <w:tab/>
        <w:t>their own firm capacity, to the extent possible;</w:t>
      </w:r>
    </w:p>
    <w:p>
      <w:pPr>
        <w:pStyle w:val="Heading5"/>
        <w:keepNext w:val="false"/>
        <w:keepLines w:val="false"/>
        <w:widowControl/>
        <w:suppressAutoHyphens w:val="true"/>
        <w:rPr/>
      </w:pPr>
      <w:r>
        <w:rPr/>
        <w:t>ii.</w:t>
        <w:tab/>
        <w:t>any available As-available capacity on the system at any receipt point; and</w:t>
      </w:r>
    </w:p>
    <w:p>
      <w:pPr>
        <w:pStyle w:val="Heading5"/>
        <w:keepNext w:val="false"/>
        <w:keepLines w:val="false"/>
        <w:widowControl/>
        <w:suppressAutoHyphens w:val="true"/>
        <w:rPr/>
      </w:pPr>
      <w:r>
        <w:rPr/>
        <w:t>iii.</w:t>
        <w:tab/>
        <w:t>available voluntary diversion of supply from noncore end-users or other transmission system shippers, at prices not to exceed the cost of involuntary diversion.</w:t>
      </w:r>
    </w:p>
    <w:p>
      <w:pPr>
        <w:pStyle w:val="Heading4"/>
        <w:keepNext w:val="false"/>
        <w:keepLines w:val="false"/>
        <w:widowControl/>
        <w:suppressAutoHyphens w:val="true"/>
        <w:rPr/>
      </w:pPr>
      <w:r>
        <w:rPr/>
        <w:t>c.</w:t>
        <w:tab/>
        <w:t xml:space="preserve">Involuntary diversion of gas supply on the transmission system will be used as a last resort to ensure service reliability for core end-users.  Firm transportation to off-system is not subject to diversion.  Diversion will occur in the following order: </w:t>
      </w:r>
    </w:p>
    <w:p>
      <w:pPr>
        <w:pStyle w:val="Heading5"/>
        <w:keepNext w:val="false"/>
        <w:keepLines w:val="false"/>
        <w:widowControl/>
        <w:suppressAutoHyphens w:val="true"/>
        <w:rPr/>
      </w:pPr>
      <w:r>
        <w:rPr/>
        <w:t>i.</w:t>
        <w:tab/>
        <w:t>Noncore supply scheduled under As-available transportation is diverted in order of contract transmission price and on a pro rata basis for all volumes with the same price.  However, scheduled deliveries from storage using       As-available transmission will be treated as the highest priority noncore firm transmission.</w:t>
      </w:r>
    </w:p>
    <w:p>
      <w:pPr>
        <w:pStyle w:val="Heading5"/>
        <w:keepNext w:val="false"/>
        <w:keepLines w:val="false"/>
        <w:widowControl/>
        <w:suppressAutoHyphens w:val="true"/>
        <w:rPr/>
      </w:pPr>
      <w:r>
        <w:rPr/>
        <w:t>ii.</w:t>
        <w:tab/>
        <w:t>Firm transportation to on-system noncore end-users.</w:t>
      </w:r>
    </w:p>
    <w:p>
      <w:pPr>
        <w:pStyle w:val="Heading4"/>
        <w:keepNext w:val="false"/>
        <w:keepLines w:val="false"/>
        <w:widowControl/>
        <w:suppressAutoHyphens w:val="true"/>
        <w:rPr/>
      </w:pPr>
      <w:r>
        <w:rPr/>
        <w:t>d.</w:t>
        <w:tab/>
        <w:t>Those receiving involuntarily diverted supply will be assessed a $50/Dth diversion usage charge in addition to a $50/Dth EFO curtailment noncompliance penalty, for a total noncompliance charge of $100/Dth.  These revenues will be used first to pay diversion credits to those whose gas supply is involuntarily diverted.  The remaining revenues will be returned to all customers in the customer class charge.</w:t>
      </w:r>
    </w:p>
    <w:p>
      <w:pPr>
        <w:pStyle w:val="Heading4"/>
        <w:keepNext w:val="false"/>
        <w:keepLines w:val="false"/>
        <w:widowControl/>
        <w:suppressAutoHyphens w:val="true"/>
        <w:rPr/>
      </w:pPr>
      <w:r>
        <w:rPr/>
        <w:t>e.</w:t>
        <w:tab/>
        <w:t>Firm transportation service customers whose gas supply is involuntarily diverted will receive a $50/Dth diversion credit.</w:t>
      </w:r>
    </w:p>
    <w:p>
      <w:pPr>
        <w:pStyle w:val="Heading4"/>
        <w:keepNext w:val="false"/>
        <w:keepLines w:val="false"/>
        <w:widowControl/>
        <w:suppressAutoHyphens w:val="true"/>
        <w:rPr/>
      </w:pPr>
      <w:r>
        <w:rPr/>
        <w:t>f.</w:t>
        <w:tab/>
        <w:t>As-available transmission service customers whose gas supply is involuntarily diverted will receive a diversion credit based on the current market price of the diverted supply.</w:t>
      </w:r>
    </w:p>
    <w:p>
      <w:pPr>
        <w:pStyle w:val="Heading3"/>
        <w:keepNext w:val="false"/>
        <w:keepLines w:val="false"/>
        <w:widowControl/>
        <w:suppressAutoHyphens w:val="true"/>
        <w:rPr/>
      </w:pPr>
      <w:r>
        <w:rPr/>
        <w:t>13.</w:t>
        <w:tab/>
        <w:t>Balancing Service</w:t>
      </w:r>
    </w:p>
    <w:p>
      <w:pPr>
        <w:pStyle w:val="Heading4"/>
        <w:keepNext w:val="false"/>
        <w:keepLines w:val="false"/>
        <w:widowControl/>
        <w:suppressAutoHyphens w:val="true"/>
        <w:rPr/>
      </w:pPr>
      <w:r>
        <w:rPr/>
        <w:t>a.</w:t>
        <w:tab/>
        <w:t xml:space="preserve">Basic Service </w:t>
      </w:r>
    </w:p>
    <w:p>
      <w:pPr>
        <w:pStyle w:val="Heading5"/>
        <w:keepNext w:val="false"/>
        <w:keepLines w:val="false"/>
        <w:widowControl/>
        <w:suppressAutoHyphens w:val="true"/>
        <w:rPr/>
      </w:pPr>
      <w:r>
        <w:rPr/>
        <w:t>i.</w:t>
        <w:tab/>
        <w:t xml:space="preserve">Balancing service will be provided on a monthly basis through a single integrated gas system for both transmission-level and distribution-level customers. </w:t>
      </w:r>
    </w:p>
    <w:p>
      <w:pPr>
        <w:pStyle w:val="Heading5"/>
        <w:keepNext w:val="false"/>
        <w:keepLines w:val="false"/>
        <w:widowControl/>
        <w:suppressAutoHyphens w:val="true"/>
        <w:rPr/>
      </w:pPr>
      <w:r>
        <w:rPr/>
        <w:t>ii.</w:t>
        <w:tab/>
        <w:t>All customers shall exercise best efforts to have daily gas receipts match daily gas usage.</w:t>
      </w:r>
    </w:p>
    <w:p>
      <w:pPr>
        <w:pStyle w:val="Heading5"/>
        <w:keepNext w:val="false"/>
        <w:keepLines w:val="false"/>
        <w:widowControl/>
        <w:suppressAutoHyphens w:val="true"/>
        <w:rPr/>
      </w:pPr>
      <w:r>
        <w:rPr/>
        <w:t>iii.</w:t>
        <w:tab/>
        <w:t>Monthly imbalances can be carried forward one month, not to exceed plus or minus five percent of the usage in the month in which the imbalance occurred, except as noted in items a.iv and d, below.</w:t>
      </w:r>
    </w:p>
    <w:p>
      <w:pPr>
        <w:pStyle w:val="Heading5"/>
        <w:keepNext w:val="false"/>
        <w:keepLines w:val="false"/>
        <w:widowControl/>
        <w:suppressAutoHyphens w:val="true"/>
        <w:rPr/>
      </w:pPr>
      <w:r>
        <w:rPr/>
        <w:t>iv.</w:t>
        <w:tab/>
        <w:t>If at any time the aggregate imbalance on PG&amp;E’s system (excluding the operation of the storage reserved for balancing) has exceeded plus or minus three percent of that month’s aggregate deliveries (excluding gas scheduled for subsequent delivery off-system) for two months in the preceding 12 month period, then the imbalance carry-over allowance will be decreased one percent after a minimum of 30 days notice to the market.  This provision can be used to lower the imbalance carry-over allowance no more than once in any 12 month period.  The carry-over allowance will not be set below three percent without CPUC approval.  All references in the Gas Accord to a five percent carry-over allowance and to the tiers for monthly imbalance cash-outs are intended and understood to be subject to change by operation of this provision.</w:t>
      </w:r>
    </w:p>
    <w:p>
      <w:pPr>
        <w:pStyle w:val="Heading5"/>
        <w:keepNext w:val="false"/>
        <w:keepLines w:val="false"/>
        <w:widowControl/>
        <w:suppressAutoHyphens w:val="true"/>
        <w:rPr/>
      </w:pPr>
      <w:r>
        <w:rPr/>
        <w:t>v.</w:t>
        <w:tab/>
        <w:t>Operational Flow Order (OFO) and Emergency Flow Order (EFO) provisions will be used to manage operational imbalances when necessary.</w:t>
      </w:r>
    </w:p>
    <w:p>
      <w:pPr>
        <w:pStyle w:val="Heading4"/>
        <w:keepNext w:val="false"/>
        <w:keepLines w:val="false"/>
        <w:widowControl/>
        <w:suppressAutoHyphens w:val="true"/>
        <w:rPr/>
      </w:pPr>
      <w:r>
        <w:rPr/>
        <w:t>b.</w:t>
        <w:tab/>
        <w:t>Customer Imbalances</w:t>
      </w:r>
    </w:p>
    <w:p>
      <w:pPr>
        <w:pStyle w:val="Heading5"/>
        <w:keepNext w:val="false"/>
        <w:keepLines w:val="false"/>
        <w:widowControl/>
        <w:suppressAutoHyphens w:val="true"/>
        <w:rPr/>
      </w:pPr>
      <w:r>
        <w:rPr/>
        <w:t>i.</w:t>
        <w:tab/>
        <w:t>Imbalances generally will be maintained at the delivery point.  For deliveries made to on-system end-users, the end-user will be responsible for imbalances.  For deliveries to storage and to off-system points, the transmission shipper will be responsible for imbalances.</w:t>
      </w:r>
    </w:p>
    <w:p>
      <w:pPr>
        <w:pStyle w:val="Heading5"/>
        <w:keepNext w:val="false"/>
        <w:keepLines w:val="false"/>
        <w:widowControl/>
        <w:suppressAutoHyphens w:val="true"/>
        <w:rPr/>
      </w:pPr>
      <w:r>
        <w:rPr/>
        <w:t>ii.</w:t>
        <w:tab/>
        <w:t xml:space="preserve">End-user imbalance accounts may be assigned to a third party.  </w:t>
      </w:r>
    </w:p>
    <w:p>
      <w:pPr>
        <w:pStyle w:val="Heading5"/>
        <w:keepNext w:val="false"/>
        <w:keepLines w:val="false"/>
        <w:widowControl/>
        <w:suppressAutoHyphens w:val="true"/>
        <w:rPr/>
      </w:pPr>
      <w:r>
        <w:rPr/>
        <w:t>iii.</w:t>
        <w:tab/>
        <w:t xml:space="preserve">A third party may aggregate imbalance accounts. </w:t>
      </w:r>
    </w:p>
    <w:p>
      <w:pPr>
        <w:pStyle w:val="Heading4"/>
        <w:keepNext w:val="false"/>
        <w:keepLines w:val="false"/>
        <w:widowControl/>
        <w:suppressAutoHyphens w:val="true"/>
        <w:rPr/>
      </w:pPr>
      <w:r>
        <w:rPr/>
        <w:t>c.</w:t>
        <w:tab/>
        <w:t>Imbalance Trading</w:t>
      </w:r>
    </w:p>
    <w:p>
      <w:pPr>
        <w:pStyle w:val="Heading5"/>
        <w:keepNext w:val="false"/>
        <w:keepLines w:val="false"/>
        <w:widowControl/>
        <w:suppressAutoHyphens w:val="true"/>
        <w:rPr/>
      </w:pPr>
      <w:r>
        <w:rPr/>
        <w:t>i.</w:t>
        <w:tab/>
        <w:t xml:space="preserve">Monthly imbalance quantities may be traded with another entity. </w:t>
      </w:r>
    </w:p>
    <w:p>
      <w:pPr>
        <w:pStyle w:val="Heading5"/>
        <w:keepNext w:val="false"/>
        <w:keepLines w:val="false"/>
        <w:widowControl/>
        <w:suppressAutoHyphens w:val="true"/>
        <w:rPr/>
      </w:pPr>
      <w:r>
        <w:rPr/>
        <w:t>ii.</w:t>
        <w:tab/>
        <w:t>Imbalance quantities can only be traded with other imbalance quantities that occurred during the same calendar month.  Trading between on- and off-system imbalances is not allowed.</w:t>
      </w:r>
    </w:p>
    <w:p>
      <w:pPr>
        <w:pStyle w:val="Heading5"/>
        <w:keepNext w:val="false"/>
        <w:keepLines w:val="false"/>
        <w:widowControl/>
        <w:suppressAutoHyphens w:val="true"/>
        <w:rPr/>
      </w:pPr>
      <w:r>
        <w:rPr/>
        <w:t>iii.</w:t>
        <w:tab/>
        <w:t>Any imbalance trade must move the trader’s imbalance quantity toward zero, unless the imbalance resulting from the trade is within the range of plus or minus three percent.</w:t>
      </w:r>
    </w:p>
    <w:p>
      <w:pPr>
        <w:pStyle w:val="Heading5"/>
        <w:keepNext w:val="false"/>
        <w:keepLines w:val="false"/>
        <w:widowControl/>
        <w:suppressAutoHyphens w:val="true"/>
        <w:rPr/>
      </w:pPr>
      <w:r>
        <w:rPr/>
        <w:t>iv.</w:t>
        <w:tab/>
        <w:t>Imbalance trading into and out of storage will be available.  Firm storage customers may use a PG&amp;E (or other on-system storage provider’s storage account subject to having an appropriate operational balancing agreement between PG&amp;E and the other storage provider) to trade transportation imbalances, during the imbalance trading period, within operational limits.</w:t>
      </w:r>
    </w:p>
    <w:p>
      <w:pPr>
        <w:pStyle w:val="Heading4"/>
        <w:keepNext w:val="false"/>
        <w:keepLines w:val="false"/>
        <w:widowControl/>
        <w:suppressAutoHyphens w:val="true"/>
        <w:rPr/>
      </w:pPr>
      <w:r>
        <w:rPr/>
        <w:t>d.</w:t>
        <w:tab/>
        <w:t>Imbalance Charges and Cash-Out</w:t>
      </w:r>
    </w:p>
    <w:p>
      <w:pPr>
        <w:pStyle w:val="Heading5"/>
        <w:keepNext w:val="false"/>
        <w:keepLines w:val="false"/>
        <w:widowControl/>
        <w:suppressAutoHyphens w:val="true"/>
        <w:rPr/>
      </w:pPr>
      <w:r>
        <w:rPr/>
        <w:t>i.</w:t>
        <w:tab/>
        <w:t>Automatic cash-out of all commodity and transmission imbalances outside of allowed carry-forward quantity each month will occur.  In-kind imbalance deliveries will not be included.  Imbalance cash-outs will have a commodity and a transmission component.  Monthly imbalance cash-out occurs after imbalance trading for the month is complete.</w:t>
      </w:r>
    </w:p>
    <w:p>
      <w:pPr>
        <w:pStyle w:val="Heading5"/>
        <w:keepNext w:val="false"/>
        <w:keepLines w:val="false"/>
        <w:widowControl/>
        <w:suppressAutoHyphens w:val="true"/>
        <w:rPr/>
      </w:pPr>
      <w:r>
        <w:rPr/>
        <w:t>ii.</w:t>
        <w:tab/>
        <w:t>Commodity cash-out prices for each month for each interconnect are based on the higher (for under-deliveries) or lower (for over-deliveries) of the following gas price indexes at PG&amp;E interconnects (e.g. Malin, Topock) from public sources (e.g. Bloomberg, Gas Daily):</w:t>
      </w:r>
    </w:p>
    <w:p>
      <w:pPr>
        <w:pStyle w:val="Normal"/>
        <w:widowControl/>
        <w:numPr>
          <w:ilvl w:val="0"/>
          <w:numId w:val="4"/>
        </w:numPr>
        <w:tabs>
          <w:tab w:val="clear" w:pos="720"/>
          <w:tab w:val="left" w:pos="0" w:leader="none"/>
        </w:tabs>
        <w:suppressAutoHyphens w:val="true"/>
        <w:ind w:hanging="360" w:start="2520" w:end="0"/>
        <w:rPr/>
      </w:pPr>
      <w:r>
        <w:rPr/>
        <w:t>Monthly index price;</w:t>
      </w:r>
    </w:p>
    <w:p>
      <w:pPr>
        <w:pStyle w:val="Normal"/>
        <w:widowControl/>
        <w:numPr>
          <w:ilvl w:val="0"/>
          <w:numId w:val="4"/>
        </w:numPr>
        <w:tabs>
          <w:tab w:val="clear" w:pos="720"/>
          <w:tab w:val="left" w:pos="0" w:leader="none"/>
        </w:tabs>
        <w:suppressAutoHyphens w:val="true"/>
        <w:ind w:hanging="720" w:start="2880" w:end="0"/>
        <w:rPr/>
      </w:pPr>
      <w:r>
        <w:rPr/>
        <w:t>Under-deliveries:  average of the five highest daily index prices during the month;</w:t>
      </w:r>
    </w:p>
    <w:p>
      <w:pPr>
        <w:pStyle w:val="Normal"/>
        <w:widowControl/>
        <w:numPr>
          <w:ilvl w:val="0"/>
          <w:numId w:val="4"/>
        </w:numPr>
        <w:tabs>
          <w:tab w:val="clear" w:pos="720"/>
          <w:tab w:val="left" w:pos="0" w:leader="none"/>
        </w:tabs>
        <w:suppressAutoHyphens w:val="true"/>
        <w:ind w:hanging="360" w:start="2880" w:end="0"/>
        <w:rPr/>
      </w:pPr>
      <w:r>
        <w:rPr/>
        <w:t>Over-deliveries:  average of the five lowest daily index prices during the month.</w:t>
      </w:r>
    </w:p>
    <w:p>
      <w:pPr>
        <w:pStyle w:val="Heading5"/>
        <w:keepNext w:val="false"/>
        <w:keepLines w:val="false"/>
        <w:widowControl/>
        <w:suppressAutoHyphens w:val="true"/>
        <w:rPr/>
      </w:pPr>
      <w:r>
        <w:rPr/>
        <w:t>iii.</w:t>
        <w:tab/>
        <w:t xml:space="preserve">The commodity cash-out index price for imbalances less than or equal to ten percent will weight the appropriate interconnect indices by the supply mix of all gas received by PG&amp;E for on-system customers during the month in which the imbalance occurred.  Imbalances greater than ten percent will be cashed-out based upon an index equal to the highest interconnect index price for under-deliveries and the lowest interconnect index price for over-deliveries, regardless of PG&amp;E’s supply mix. </w:t>
      </w:r>
    </w:p>
    <w:p>
      <w:pPr>
        <w:pStyle w:val="Heading5"/>
        <w:keepNext w:val="false"/>
        <w:keepLines w:val="false"/>
        <w:widowControl/>
        <w:suppressAutoHyphens w:val="true"/>
        <w:rPr/>
      </w:pPr>
      <w:r>
        <w:rPr/>
        <w:t>iv.</w:t>
        <w:tab/>
        <w:t>The commodity cash-out index price will be adjusted by the following percentages, according to the level of the actual monthly imbalance:</w:t>
      </w:r>
    </w:p>
    <w:p>
      <w:pPr>
        <w:pStyle w:val="Normal"/>
        <w:widowControl/>
        <w:tabs>
          <w:tab w:val="clear" w:pos="720"/>
          <w:tab w:val="left" w:pos="3240" w:leader="none"/>
          <w:tab w:val="left" w:pos="6480" w:leader="none"/>
        </w:tabs>
        <w:suppressAutoHyphens w:val="true"/>
        <w:spacing w:before="240" w:after="0"/>
        <w:rPr/>
      </w:pPr>
      <w:r>
        <w:rPr/>
        <w:t>Monthly Imbalance</w:t>
        <w:tab/>
        <w:t>Over-delivery (OD)</w:t>
        <w:tab/>
        <w:t>Under-delivery (UD)</w:t>
      </w:r>
    </w:p>
    <w:p>
      <w:pPr>
        <w:pStyle w:val="Normal"/>
        <w:widowControl/>
        <w:tabs>
          <w:tab w:val="clear" w:pos="720"/>
          <w:tab w:val="left" w:pos="3240" w:leader="none"/>
          <w:tab w:val="left" w:pos="6480" w:leader="none"/>
        </w:tabs>
        <w:suppressAutoHyphens w:val="true"/>
        <w:rPr/>
      </w:pPr>
      <w:r>
        <w:rPr>
          <w:u w:val="single"/>
        </w:rPr>
        <w:t>Level</w:t>
      </w:r>
      <w:r>
        <w:rPr/>
        <w:t xml:space="preserve">                      </w:t>
        <w:tab/>
      </w:r>
      <w:r>
        <w:rPr>
          <w:u w:val="single"/>
        </w:rPr>
        <w:t>Purchase Dollars</w:t>
      </w:r>
      <w:r>
        <w:rPr/>
        <w:tab/>
      </w:r>
      <w:r>
        <w:rPr>
          <w:u w:val="single"/>
        </w:rPr>
        <w:t>Sale Dollars</w:t>
      </w:r>
    </w:p>
    <w:p>
      <w:pPr>
        <w:pStyle w:val="Normal"/>
        <w:widowControl/>
        <w:tabs>
          <w:tab w:val="clear" w:pos="720"/>
          <w:tab w:val="left" w:pos="4320" w:leader="none"/>
          <w:tab w:val="left" w:pos="7200" w:leader="none"/>
        </w:tabs>
        <w:suppressAutoHyphens w:val="true"/>
        <w:rPr/>
      </w:pPr>
      <w:r>
        <w:rPr/>
      </w:r>
    </w:p>
    <w:p>
      <w:pPr>
        <w:pStyle w:val="Normal"/>
        <w:widowControl/>
        <w:tabs>
          <w:tab w:val="clear" w:pos="720"/>
          <w:tab w:val="left" w:pos="3240" w:leader="none"/>
          <w:tab w:val="left" w:pos="6480" w:leader="none"/>
        </w:tabs>
        <w:suppressAutoHyphens w:val="true"/>
        <w:rPr/>
      </w:pPr>
      <w:r>
        <w:rPr/>
        <w:t>+/-5% to +/-10%</w:t>
        <w:tab/>
        <w:t xml:space="preserve">95% weighted OD index </w:t>
        <w:tab/>
        <w:t>105% weighted UD index</w:t>
      </w:r>
    </w:p>
    <w:p>
      <w:pPr>
        <w:pStyle w:val="Normal"/>
        <w:widowControl/>
        <w:tabs>
          <w:tab w:val="clear" w:pos="720"/>
          <w:tab w:val="left" w:pos="3240" w:leader="none"/>
          <w:tab w:val="left" w:pos="6480" w:leader="none"/>
        </w:tabs>
        <w:suppressAutoHyphens w:val="true"/>
        <w:rPr/>
      </w:pPr>
      <w:r>
        <w:rPr/>
        <w:t>&gt;+/-10%</w:t>
        <w:tab/>
        <w:t>50% lowest index</w:t>
        <w:tab/>
        <w:t>150% highest index</w:t>
      </w:r>
    </w:p>
    <w:p>
      <w:pPr>
        <w:pStyle w:val="Heading5"/>
        <w:keepNext w:val="false"/>
        <w:keepLines w:val="false"/>
        <w:widowControl/>
        <w:suppressAutoHyphens w:val="true"/>
        <w:rPr/>
      </w:pPr>
      <w:r>
        <w:rPr/>
        <w:t>v.</w:t>
        <w:tab/>
        <w:t xml:space="preserve">Transmission service cash-out prices are based on the volumetric component of PG&amp;E’s standard tariff firm (MFV) and As-available transmission services.  Over-deliveries will receive a transmission service credit based on the volumetric component of the appropriate firm transportation rate.  Under-deliveries will be charged the appropriate rate for As-available service.  The appropriate rate is determined by weighting the path specific rates by the supply mix of all gas received by PG&amp;E for on-system customers during the month. </w:t>
      </w:r>
    </w:p>
    <w:p>
      <w:pPr>
        <w:pStyle w:val="Heading5"/>
        <w:keepNext w:val="false"/>
        <w:keepLines w:val="false"/>
        <w:widowControl/>
        <w:suppressAutoHyphens w:val="true"/>
        <w:rPr/>
      </w:pPr>
      <w:r>
        <w:rPr/>
        <w:t>vi.</w:t>
        <w:tab/>
        <w:t>PG&amp;E gas purchases and/or sales associated with cash-outs will be accounted for separately from the core portfolio purchases.</w:t>
      </w:r>
    </w:p>
    <w:p>
      <w:pPr>
        <w:pStyle w:val="Heading5"/>
        <w:keepNext w:val="false"/>
        <w:keepLines w:val="false"/>
        <w:widowControl/>
        <w:suppressAutoHyphens w:val="true"/>
        <w:rPr/>
      </w:pPr>
      <w:r>
        <w:rPr/>
        <w:t>vii.</w:t>
        <w:tab/>
        <w:t>The intent of imbalance cash-outs is to create an economic disincentive for incurring cash-out imbalances.  PG&amp;E will file to revise the imbalance charges and cash-out options if the Gas Accord provisions do not accomplish this.</w:t>
      </w:r>
    </w:p>
    <w:p>
      <w:pPr>
        <w:pStyle w:val="Heading4"/>
        <w:keepNext w:val="false"/>
        <w:keepLines w:val="false"/>
        <w:widowControl/>
        <w:suppressAutoHyphens w:val="true"/>
        <w:rPr/>
      </w:pPr>
      <w:r>
        <w:rPr/>
        <w:t>e.</w:t>
        <w:tab/>
        <w:t>Operational Flow Order Provisions</w:t>
      </w:r>
    </w:p>
    <w:p>
      <w:pPr>
        <w:pStyle w:val="Heading5"/>
        <w:keepNext w:val="false"/>
        <w:keepLines w:val="false"/>
        <w:widowControl/>
        <w:suppressAutoHyphens w:val="true"/>
        <w:rPr/>
      </w:pPr>
      <w:r>
        <w:rPr/>
        <w:t>i.</w:t>
        <w:tab/>
        <w:t xml:space="preserve">System-wide, local, or customer-specific OFO provisions may be called to order out-of-tolerance customers to balance supply and demand daily, when operationally necessary.  OFO provisions will require daily balancing and impose penalties for noncompliance.  </w:t>
      </w:r>
    </w:p>
    <w:p>
      <w:pPr>
        <w:pStyle w:val="Heading5"/>
        <w:keepNext w:val="false"/>
        <w:keepLines w:val="false"/>
        <w:widowControl/>
        <w:suppressAutoHyphens w:val="true"/>
        <w:rPr/>
      </w:pPr>
      <w:r>
        <w:rPr/>
        <w:t>ii.</w:t>
        <w:tab/>
        <w:t>OFOs may be called if pipeline inventory exceeds or is forecast to exceed desired pipeline inventory by 200 MMcf/d, or is below or is forecast to be below desired pipeline inventory by 150 MMcf/d.  Desired pipeline inventory in the winter is typically 4.2 Bcf and in the summer is typically 4.15 Bcf.</w:t>
      </w:r>
    </w:p>
    <w:p>
      <w:pPr>
        <w:pStyle w:val="Heading5"/>
        <w:keepNext w:val="false"/>
        <w:keepLines w:val="false"/>
        <w:widowControl/>
        <w:suppressAutoHyphens w:val="true"/>
        <w:rPr/>
      </w:pPr>
      <w:r>
        <w:rPr/>
        <w:t>iii.</w:t>
        <w:tab/>
        <w:t>PG&amp;E will use multi-stage OFO provisions, which would provide a daily tolerance band ranging from plus or minus 25 percent to zero percent of actual daily usage.</w:t>
      </w:r>
    </w:p>
    <w:p>
      <w:pPr>
        <w:pStyle w:val="Heading5"/>
        <w:keepNext w:val="false"/>
        <w:keepLines w:val="false"/>
        <w:widowControl/>
        <w:suppressAutoHyphens w:val="true"/>
        <w:rPr/>
      </w:pPr>
      <w:r>
        <w:rPr/>
        <w:t>iv.</w:t>
        <w:tab/>
        <w:t>Multi-stage OFO non-compliance penalty provisions would range from $1/Dth to $25/Dth.  The amount of the penalty will be announced prior to the enactment of each stage.  The penalty will start at $1/Dth and only increase during an event if the response to the OFO is inadequate.  Subsequent levels will be $5/Dth and $25/Dth, as needed to maintain pipeline system integrity.  A specific customer may start at an elevated penalty level if that customer has a history of non-compliance.</w:t>
      </w:r>
    </w:p>
    <w:p>
      <w:pPr>
        <w:pStyle w:val="Heading5"/>
        <w:keepNext w:val="false"/>
        <w:keepLines w:val="false"/>
        <w:widowControl/>
        <w:suppressAutoHyphens w:val="true"/>
        <w:rPr/>
      </w:pPr>
      <w:r>
        <w:rPr/>
        <w:t>v.</w:t>
        <w:tab/>
        <w:t>An OFO will normally be ordered with at least twelve hours notice prior to the beginning of the gas day, or as necessary as dictated by operating conditions.  Penalties will not be imposed with less than twelve hours notice.</w:t>
      </w:r>
    </w:p>
    <w:p>
      <w:pPr>
        <w:pStyle w:val="Heading5"/>
        <w:keepNext w:val="false"/>
        <w:keepLines w:val="false"/>
        <w:widowControl/>
        <w:suppressAutoHyphens w:val="true"/>
        <w:rPr/>
      </w:pPr>
      <w:r>
        <w:rPr/>
        <w:t>vi.</w:t>
        <w:tab/>
        <w:t>For each noncore end-user without telemetering, compliance with an OFO will be determined by comparing the end-user’s supply against a 5:00 p.m. day-before PG&amp;E forecast of the end-user’s usage.</w:t>
      </w:r>
    </w:p>
    <w:p>
      <w:pPr>
        <w:pStyle w:val="Heading4"/>
        <w:keepNext w:val="false"/>
        <w:keepLines w:val="false"/>
        <w:widowControl/>
        <w:suppressAutoHyphens w:val="true"/>
        <w:rPr/>
      </w:pPr>
      <w:r>
        <w:rPr/>
        <w:t>f.</w:t>
        <w:tab/>
        <w:t>Emergency Flow Order Provisions</w:t>
      </w:r>
    </w:p>
    <w:p>
      <w:pPr>
        <w:pStyle w:val="Heading5"/>
        <w:keepNext w:val="false"/>
        <w:keepLines w:val="false"/>
        <w:widowControl/>
        <w:suppressAutoHyphens w:val="true"/>
        <w:rPr/>
      </w:pPr>
      <w:r>
        <w:rPr/>
        <w:t>i.</w:t>
        <w:tab/>
        <w:t>Emergency Flow Order conditions are defined to exist when a forecast or actual supply and/or capacity shortage threatens to affect the delivery to end-users.</w:t>
      </w:r>
    </w:p>
    <w:p>
      <w:pPr>
        <w:pStyle w:val="Heading5"/>
        <w:keepNext w:val="false"/>
        <w:keepLines w:val="false"/>
        <w:widowControl/>
        <w:suppressAutoHyphens w:val="true"/>
        <w:rPr/>
      </w:pPr>
      <w:r>
        <w:rPr/>
        <w:t>ii.</w:t>
        <w:tab/>
        <w:t>EFOs will have a zero percent tolerance (supply must be greater than or equal to usage) and a $50/Dth noncompliance penalty.</w:t>
      </w:r>
    </w:p>
    <w:p>
      <w:pPr>
        <w:pStyle w:val="Heading5"/>
        <w:keepNext w:val="false"/>
        <w:keepLines w:val="false"/>
        <w:widowControl/>
        <w:suppressAutoHyphens w:val="true"/>
        <w:rPr/>
      </w:pPr>
      <w:r>
        <w:rPr/>
        <w:t>iii.</w:t>
        <w:tab/>
        <w:t>For each noncore end-user without telemetering, compliance with an EFO will be determined by comparing the end-user’s supply against a 5:00 p.m. day-before PG&amp;E forecast of the end-user’s usage.</w:t>
      </w:r>
    </w:p>
    <w:p>
      <w:pPr>
        <w:pStyle w:val="Heading5"/>
        <w:keepNext w:val="false"/>
        <w:keepLines w:val="false"/>
        <w:widowControl/>
        <w:suppressAutoHyphens w:val="true"/>
        <w:rPr/>
      </w:pPr>
      <w:r>
        <w:rPr/>
        <w:t>iv.</w:t>
        <w:tab/>
        <w:t>If an involuntary supply diversion is called in conjunction with an EFO, an additional $50/Dth diversion usage charge will apply for a total potential noncompliance penalty of $100/Dth.</w:t>
      </w:r>
    </w:p>
    <w:p>
      <w:pPr>
        <w:pStyle w:val="Heading5"/>
        <w:keepNext w:val="false"/>
        <w:keepLines w:val="false"/>
        <w:widowControl/>
        <w:suppressAutoHyphens w:val="true"/>
        <w:rPr/>
      </w:pPr>
      <w:r>
        <w:rPr/>
        <w:t>v.</w:t>
        <w:tab/>
        <w:t>An EFO would normally be ordered following an OFO, but could also occur under an emergency operational condition.  There is no required notice period for EFOs, however, PG&amp;E will attempt to provide as much notification to customers as possible.</w:t>
      </w:r>
    </w:p>
    <w:p>
      <w:pPr>
        <w:pStyle w:val="Heading5"/>
        <w:keepNext w:val="false"/>
        <w:keepLines w:val="false"/>
        <w:widowControl/>
        <w:suppressAutoHyphens w:val="true"/>
        <w:rPr/>
      </w:pPr>
      <w:r>
        <w:rPr/>
        <w:t>vi.</w:t>
        <w:tab/>
        <w:t>PG&amp;E reserves the right to implement other measures to ensure system integrity should the EFO actions not alleviate the emergency condition.</w:t>
      </w:r>
    </w:p>
    <w:p>
      <w:pPr>
        <w:pStyle w:val="Heading4"/>
        <w:keepNext w:val="false"/>
        <w:keepLines w:val="false"/>
        <w:widowControl/>
        <w:suppressAutoHyphens w:val="true"/>
        <w:rPr/>
      </w:pPr>
      <w:r>
        <w:rPr/>
        <w:t>g.</w:t>
        <w:tab/>
        <w:t>Other Operational Balancing Issues</w:t>
      </w:r>
    </w:p>
    <w:p>
      <w:pPr>
        <w:pStyle w:val="Heading5"/>
        <w:keepNext w:val="false"/>
        <w:keepLines w:val="false"/>
        <w:widowControl/>
        <w:suppressAutoHyphens w:val="true"/>
        <w:rPr/>
      </w:pPr>
      <w:r>
        <w:rPr/>
        <w:t>i.</w:t>
        <w:tab/>
        <w:t xml:space="preserve">Transmission-level end-users and distribution-level noncore end-users will be required to have daily metering. </w:t>
      </w:r>
    </w:p>
    <w:p>
      <w:pPr>
        <w:pStyle w:val="Heading5"/>
        <w:keepNext w:val="false"/>
        <w:keepLines w:val="false"/>
        <w:widowControl/>
        <w:suppressAutoHyphens w:val="true"/>
        <w:rPr/>
      </w:pPr>
      <w:r>
        <w:rPr/>
        <w:t>ii.</w:t>
        <w:tab/>
        <w:t>Telemetering will be installed on noncore customers’ meters where it is cost-effective.  These costs will not change the rates established by the Gas Accord.</w:t>
      </w:r>
    </w:p>
    <w:p>
      <w:pPr>
        <w:pStyle w:val="Heading5"/>
        <w:keepNext w:val="false"/>
        <w:keepLines w:val="false"/>
        <w:widowControl/>
        <w:suppressAutoHyphens w:val="true"/>
        <w:rPr/>
      </w:pPr>
      <w:r>
        <w:rPr/>
        <w:t>iii.</w:t>
        <w:tab/>
        <w:t>PG&amp;E reserves the right to propose other measures to ensure system integrity should the OFO and/or EFO provisions not prove to be adequate.</w:t>
      </w:r>
    </w:p>
    <w:p>
      <w:pPr>
        <w:pStyle w:val="Heading5"/>
        <w:keepNext w:val="false"/>
        <w:keepLines w:val="false"/>
        <w:widowControl/>
        <w:suppressAutoHyphens w:val="true"/>
        <w:rPr/>
      </w:pPr>
      <w:r>
        <w:rPr/>
        <w:t>iv.</w:t>
        <w:tab/>
        <w:t>A load profile modeling tool will be developed to determine daily usage for PG&amp;E’s core procurement customers and core transport customers served by core aggregators in order to remove PG&amp;E’s core portfolio from providing a system balancing function, and to be able to hold PG&amp;E’s core procurement department to the same balancing and OFO provisions to which others are held.</w:t>
      </w:r>
    </w:p>
    <w:p>
      <w:pPr>
        <w:pStyle w:val="Heading5"/>
        <w:keepNext w:val="false"/>
        <w:keepLines w:val="false"/>
        <w:widowControl/>
        <w:suppressAutoHyphens w:val="true"/>
        <w:rPr/>
      </w:pPr>
      <w:r>
        <w:rPr/>
        <w:t>v.</w:t>
        <w:tab/>
        <w:t xml:space="preserve">The normal nomination deadline will be shifted to one day prior to gas flow at all receipt points where the upstream operator(s) will accommodate the shift. </w:t>
      </w:r>
    </w:p>
    <w:p>
      <w:pPr>
        <w:pStyle w:val="Heading5"/>
        <w:keepNext w:val="false"/>
        <w:keepLines w:val="false"/>
        <w:widowControl/>
        <w:suppressAutoHyphens w:val="true"/>
        <w:rPr/>
      </w:pPr>
      <w:r>
        <w:rPr/>
        <w:t>vi.</w:t>
        <w:tab/>
        <w:t>PG&amp;E will allow same-day nominations, if necessary, and if upstream and downstream operator(s) are able to accommodate the practice.</w:t>
      </w:r>
    </w:p>
    <w:p>
      <w:pPr>
        <w:pStyle w:val="Heading3"/>
        <w:keepNext w:val="false"/>
        <w:keepLines w:val="false"/>
        <w:widowControl/>
        <w:suppressAutoHyphens w:val="true"/>
        <w:rPr/>
      </w:pPr>
      <w:r>
        <w:rPr/>
        <w:t>14.</w:t>
        <w:tab/>
        <w:t>Transmission Level End-Use Service</w:t>
      </w:r>
    </w:p>
    <w:p>
      <w:pPr>
        <w:pStyle w:val="Heading4"/>
        <w:keepNext w:val="false"/>
        <w:keepLines w:val="false"/>
        <w:widowControl/>
        <w:suppressAutoHyphens w:val="true"/>
        <w:rPr/>
      </w:pPr>
      <w:r>
        <w:rPr/>
        <w:t>a.</w:t>
        <w:tab/>
        <w:t xml:space="preserve">To be eligible for transmission-level end-use service, an end-user must: </w:t>
      </w:r>
    </w:p>
    <w:p>
      <w:pPr>
        <w:pStyle w:val="Heading5"/>
        <w:keepNext w:val="false"/>
        <w:keepLines w:val="false"/>
        <w:widowControl/>
        <w:suppressAutoHyphens w:val="true"/>
        <w:rPr/>
      </w:pPr>
      <w:r>
        <w:rPr/>
        <w:t>i.</w:t>
        <w:tab/>
        <w:t xml:space="preserve">Be a noncore customer; </w:t>
      </w:r>
    </w:p>
    <w:p>
      <w:pPr>
        <w:pStyle w:val="Heading5"/>
        <w:keepNext w:val="false"/>
        <w:keepLines w:val="false"/>
        <w:widowControl/>
        <w:suppressAutoHyphens w:val="true"/>
        <w:rPr/>
      </w:pPr>
      <w:r>
        <w:rPr/>
        <w:t>ii.</w:t>
        <w:tab/>
        <w:t xml:space="preserve">Be physically connected to the transmission system or have an annual load in excess of 3 million therms/year; and </w:t>
      </w:r>
    </w:p>
    <w:p>
      <w:pPr>
        <w:pStyle w:val="Heading5"/>
        <w:keepNext w:val="false"/>
        <w:keepLines w:val="false"/>
        <w:widowControl/>
        <w:suppressAutoHyphens w:val="true"/>
        <w:rPr/>
      </w:pPr>
      <w:r>
        <w:rPr/>
        <w:t>iii.</w:t>
        <w:tab/>
        <w:t xml:space="preserve">Elect to receive transmission level end-use service. </w:t>
      </w:r>
    </w:p>
    <w:p>
      <w:pPr>
        <w:pStyle w:val="Heading4"/>
        <w:keepNext w:val="false"/>
        <w:keepLines w:val="false"/>
        <w:widowControl/>
        <w:suppressAutoHyphens w:val="true"/>
        <w:rPr/>
      </w:pPr>
      <w:r>
        <w:rPr/>
        <w:t>b.</w:t>
        <w:tab/>
        <w:t>All on-system transmission-level end-users must pay local transmission charges.</w:t>
      </w:r>
    </w:p>
    <w:p>
      <w:pPr>
        <w:pStyle w:val="Heading4"/>
        <w:keepNext w:val="false"/>
        <w:keepLines w:val="false"/>
        <w:widowControl/>
        <w:suppressAutoHyphens w:val="true"/>
        <w:rPr/>
      </w:pPr>
      <w:r>
        <w:rPr/>
        <w:t>c.</w:t>
        <w:tab/>
        <w:t>All other end-users will be served at distribution tariff rates.</w:t>
      </w:r>
    </w:p>
    <w:p>
      <w:pPr>
        <w:pStyle w:val="Heading4"/>
        <w:widowControl/>
        <w:rPr/>
      </w:pPr>
      <w:r>
        <w:rPr/>
        <w:t>d.</w:t>
        <w:tab/>
        <w:t>The definition of a noncore customer may be revisited in BCAPs during the Accord period.</w:t>
      </w:r>
    </w:p>
    <w:p>
      <w:pPr>
        <w:pStyle w:val="Normal"/>
        <w:widowControl/>
        <w:suppressAutoHyphens w:val="true"/>
        <w:rPr/>
      </w:pPr>
      <w:r>
        <w:rPr/>
      </w:r>
    </w:p>
    <w:p>
      <w:pPr>
        <w:pStyle w:val="Heading3"/>
        <w:keepNext w:val="false"/>
        <w:keepLines w:val="false"/>
        <w:widowControl/>
        <w:suppressAutoHyphens w:val="true"/>
        <w:spacing w:before="0" w:after="0"/>
        <w:rPr/>
      </w:pPr>
      <w:r>
        <w:rPr/>
        <w:t>15.</w:t>
        <w:tab/>
        <w:t>Negotiated Contracts</w:t>
      </w:r>
    </w:p>
    <w:p>
      <w:pPr>
        <w:pStyle w:val="Heading4"/>
        <w:keepNext w:val="false"/>
        <w:keepLines w:val="false"/>
        <w:widowControl/>
        <w:suppressAutoHyphens w:val="true"/>
        <w:rPr/>
      </w:pPr>
      <w:r>
        <w:rPr/>
        <w:t>a.</w:t>
        <w:tab/>
        <w:t>Standard tariff rates and terms are available to all customers.</w:t>
      </w:r>
    </w:p>
    <w:p>
      <w:pPr>
        <w:pStyle w:val="Heading4"/>
        <w:keepNext w:val="false"/>
        <w:keepLines w:val="false"/>
        <w:widowControl/>
        <w:suppressAutoHyphens w:val="true"/>
        <w:rPr/>
      </w:pPr>
      <w:r>
        <w:rPr/>
        <w:t>b.</w:t>
        <w:tab/>
        <w:t xml:space="preserve">PG&amp;E may distinguish between parties in offering negotiated rates by evaluating differences in circumstances and conditions, including but not limited to differences occurring upstream, downstream or at the customer’s location, affecting either cost of service or the entities’ market alternatives.  Such negotiations will be conducted without undue preference or undue discrimination. </w:t>
      </w:r>
    </w:p>
    <w:p>
      <w:pPr>
        <w:pStyle w:val="Heading4"/>
        <w:keepNext w:val="false"/>
        <w:keepLines w:val="false"/>
        <w:widowControl/>
        <w:suppressAutoHyphens w:val="true"/>
        <w:rPr/>
      </w:pPr>
      <w:r>
        <w:rPr/>
        <w:t>c.</w:t>
        <w:tab/>
        <w:t>Negotiated rates for transmission and storage service shall not be less than PG&amp;E’s short-run marginal cost of providing the service.  Negotiated transmission rates under NFT and NAA will be capped at 120 percent of the tariffed rate for the particular service on the particular path.  Negotiated storage rates (NFS and NAS) will be capped at the price which will provide PG&amp;E the opportunity to recover its total embedded cost revenue requirement for the unbundled storage program for each of the three storage subfunctions (e.g., inventory, injection, or withdrawal).</w:t>
      </w:r>
    </w:p>
    <w:p>
      <w:pPr>
        <w:pStyle w:val="Heading4"/>
        <w:keepNext w:val="false"/>
        <w:keepLines w:val="false"/>
        <w:widowControl/>
        <w:suppressAutoHyphens w:val="true"/>
        <w:rPr/>
      </w:pPr>
      <w:r>
        <w:rPr/>
        <w:t>d.</w:t>
        <w:tab/>
        <w:t>To the extent that PG&amp;E negotiates a transmission contract for its Malin to on-system path with an on-system end-user, and the negotiated backbone rate component offered is below the analogous Topock to on-system path rate, e.g., seasonal firm, PG&amp;E agrees to offer to that end-user the same negotiated rate for a Topock to on-system path contract, to the extent that capacity is available.</w:t>
      </w:r>
    </w:p>
    <w:p>
      <w:pPr>
        <w:pStyle w:val="Heading4"/>
        <w:keepNext w:val="false"/>
        <w:keepLines w:val="false"/>
        <w:widowControl/>
        <w:suppressAutoHyphens w:val="true"/>
        <w:rPr/>
      </w:pPr>
      <w:r>
        <w:rPr/>
        <w:t>e.</w:t>
        <w:tab/>
        <w:t>Negotiated rates for parking and lending services shall not be less than PG&amp;E’s short-run marginal cost of providing the service.  These rates will be capped at a daily and/or annual cost to cycle gas using firm storage service.</w:t>
      </w:r>
    </w:p>
    <w:p>
      <w:pPr>
        <w:pStyle w:val="Heading4"/>
        <w:keepNext w:val="false"/>
        <w:keepLines w:val="false"/>
        <w:widowControl/>
        <w:suppressAutoHyphens w:val="true"/>
        <w:rPr/>
      </w:pPr>
      <w:r>
        <w:rPr/>
        <w:t>f.</w:t>
        <w:tab/>
        <w:t xml:space="preserve">PG&amp;E will issue monthly reports to CPUC covering all negotiated contracts, including those negotiated under NFT, NAA, NFS, and NAS, but excluding PARK and LEND.  PG&amp;E will make the report available upon request.  Customer names, including PG&amp;E’s affiliates and other departments, will not be disclosed in the report.  However, the report will indicate whether a particular transaction was with an affiliate.  The report will show the negotiated contract rates. </w:t>
      </w:r>
    </w:p>
    <w:p>
      <w:pPr>
        <w:pStyle w:val="Heading4"/>
        <w:keepNext w:val="false"/>
        <w:keepLines w:val="false"/>
        <w:widowControl/>
        <w:suppressAutoHyphens w:val="true"/>
        <w:rPr/>
      </w:pPr>
      <w:r>
        <w:rPr/>
        <w:t>g.</w:t>
        <w:tab/>
        <w:t xml:space="preserve">The CPUC’s complaint procedure will be available to address any undue discrimination claims.  </w:t>
      </w:r>
    </w:p>
    <w:p>
      <w:pPr>
        <w:pStyle w:val="Heading4"/>
        <w:keepNext w:val="false"/>
        <w:keepLines w:val="false"/>
        <w:widowControl/>
        <w:suppressAutoHyphens w:val="true"/>
        <w:rPr/>
      </w:pPr>
      <w:r>
        <w:rPr/>
        <w:t>h.</w:t>
        <w:tab/>
        <w:t>PG&amp;E may also offer other customer-specific negotiated contracts.  Negotiated transmission and storage service contracts under NFT, NAA, NFS, and NAS will not require submission to the CPUC for approval; however, any other negotiated transmission or storage service contracts will require submission to the CPUC for approval.</w:t>
      </w:r>
    </w:p>
    <w:p>
      <w:pPr>
        <w:pStyle w:val="Normal"/>
        <w:widowControl/>
        <w:suppressAutoHyphens w:val="true"/>
        <w:rPr/>
      </w:pPr>
      <w:r>
        <w:rPr/>
      </w:r>
    </w:p>
    <w:p>
      <w:pPr>
        <w:pStyle w:val="Heading3"/>
        <w:keepNext w:val="false"/>
        <w:keepLines w:val="false"/>
        <w:widowControl/>
        <w:suppressAutoHyphens w:val="true"/>
        <w:spacing w:before="0" w:after="0"/>
        <w:rPr/>
      </w:pPr>
      <w:r>
        <w:rPr/>
        <w:t>16.</w:t>
        <w:tab/>
        <w:t>Affiliate and Intracompany Transactions</w:t>
      </w:r>
    </w:p>
    <w:p>
      <w:pPr>
        <w:pStyle w:val="Heading4"/>
        <w:keepNext w:val="false"/>
        <w:keepLines w:val="false"/>
        <w:widowControl/>
        <w:suppressAutoHyphens w:val="true"/>
        <w:rPr/>
      </w:pPr>
      <w:r>
        <w:rPr/>
        <w:t>a.</w:t>
        <w:tab/>
        <w:t xml:space="preserve">PG&amp;E will treat PG&amp;E’s affiliates and core procurement and UEG departments without undue preference or undue discrimination. </w:t>
      </w:r>
    </w:p>
    <w:p>
      <w:pPr>
        <w:pStyle w:val="Heading4"/>
        <w:keepNext w:val="false"/>
        <w:keepLines w:val="false"/>
        <w:widowControl/>
        <w:suppressAutoHyphens w:val="true"/>
        <w:rPr/>
      </w:pPr>
      <w:r>
        <w:rPr/>
        <w:t>b.</w:t>
        <w:tab/>
        <w:t>PG&amp;E will not disclose specific shipper information to PG&amp;E’s affiliates or core procurement and UEG departments without that shipper’s permission, except as needed to serve the shipper.</w:t>
      </w:r>
    </w:p>
    <w:p>
      <w:pPr>
        <w:pStyle w:val="Heading4"/>
        <w:keepNext w:val="false"/>
        <w:keepLines w:val="false"/>
        <w:widowControl/>
        <w:suppressAutoHyphens w:val="true"/>
        <w:rPr/>
      </w:pPr>
      <w:r>
        <w:rPr/>
        <w:t>c.</w:t>
        <w:tab/>
        <w:t xml:space="preserve">PG&amp;E will provide nonpublic information about the intrastate transmission system to all entities, including PG&amp;E’s affiliates and core procurement and UEG departments, without undue preference or undue discrimination. </w:t>
      </w:r>
    </w:p>
    <w:p>
      <w:pPr>
        <w:pStyle w:val="Heading4"/>
        <w:keepNext w:val="false"/>
        <w:keepLines w:val="false"/>
        <w:widowControl/>
        <w:suppressAutoHyphens w:val="true"/>
        <w:rPr/>
      </w:pPr>
      <w:r>
        <w:rPr/>
        <w:t>d.</w:t>
        <w:tab/>
        <w:t>PG&amp;E will develop specific standards of conduct for affiliate transactions to be included in its Accord tariffs.</w:t>
      </w:r>
    </w:p>
    <w:p>
      <w:pPr>
        <w:pStyle w:val="Heading2"/>
        <w:keepNext w:val="false"/>
        <w:keepLines w:val="false"/>
        <w:suppressAutoHyphens w:val="true"/>
        <w:rPr/>
      </w:pPr>
      <w:r>
        <w:rPr/>
        <w:t>F.</w:t>
        <w:tab/>
        <w:t>Special Agreements</w:t>
      </w:r>
    </w:p>
    <w:p>
      <w:pPr>
        <w:pStyle w:val="Heading3"/>
        <w:keepNext w:val="false"/>
        <w:keepLines w:val="false"/>
        <w:suppressAutoHyphens w:val="true"/>
        <w:rPr/>
      </w:pPr>
      <w:r>
        <w:rPr/>
        <w:t>1.</w:t>
        <w:tab/>
        <w:t>Firm Expansion Agreements</w:t>
      </w:r>
    </w:p>
    <w:p>
      <w:pPr>
        <w:pStyle w:val="Heading4"/>
        <w:keepNext w:val="false"/>
        <w:keepLines w:val="false"/>
        <w:suppressAutoHyphens w:val="true"/>
        <w:rPr/>
      </w:pPr>
      <w:r>
        <w:rPr/>
        <w:t>a.</w:t>
        <w:tab/>
        <w:t>As set forth in Section I.B.6, the 304 MMcf/d of Line 401 capacity remains initially dedicated to firm G-XF service, consistent with the Firm Transportation Service Agreements (FTSAs) previously approved by the CPUC for service to the firm Expansion shippers.  The G-XF rate will continue to apply to this capacity and to service provided to these shippers for the remainder of the 30-year term of these agreements, as set forth in part (b.ii), below, except that each shipper may elect one of the options set forth in parts (b.i) and (c), below, and, by virtue of that election, alter the rate, term, and terms and conditions of service.  The other 509 MMcf/d of Line 401 firm capacity is redesignated as firm capacity available for subscription under the new transmission services described in Section II.A.</w:t>
      </w:r>
    </w:p>
    <w:p>
      <w:pPr>
        <w:pStyle w:val="Heading4"/>
        <w:keepNext w:val="false"/>
        <w:keepLines w:val="false"/>
        <w:suppressAutoHyphens w:val="true"/>
        <w:rPr/>
      </w:pPr>
      <w:r>
        <w:rPr/>
        <w:t>b.</w:t>
        <w:tab/>
      </w:r>
      <w:r>
        <w:rPr>
          <w:u w:val="single"/>
        </w:rPr>
        <w:t>Options for Service:</w:t>
      </w:r>
      <w:r>
        <w:rPr/>
        <w:t xml:space="preserve">  Firm Expansion shippers may elect one of the following options for restructuring their contractual commitments.  The shippers may elect either of the following two options at any time up to 45 calendar days following CPUC approval of this Settlement Agreement.</w:t>
      </w:r>
    </w:p>
    <w:p>
      <w:pPr>
        <w:pStyle w:val="Heading5"/>
        <w:keepNext w:val="false"/>
        <w:keepLines w:val="false"/>
        <w:widowControl/>
        <w:suppressAutoHyphens w:val="true"/>
        <w:rPr/>
      </w:pPr>
      <w:r>
        <w:rPr/>
        <w:t>i.</w:t>
        <w:tab/>
      </w:r>
      <w:r>
        <w:rPr>
          <w:u w:val="single"/>
        </w:rPr>
        <w:t>Accord Service:</w:t>
      </w:r>
      <w:r>
        <w:rPr/>
        <w:t xml:space="preserve">  A shipper may convert its firm Expansion contract to Firm Annual Off-System service (AFT-Off) under the Accord for Malin to off-system service.  The rate, terms and conditions of this service are delineated in Section II.A.4.  These include a Line 401 capital cost of $736 million, and an on-system delivery option if the shipper elects SFV rate design.  Features specially applicable to converting Expansion shippers are the following:</w:t>
      </w:r>
    </w:p>
    <w:p>
      <w:pPr>
        <w:pStyle w:val="Normal"/>
        <w:widowControl/>
        <w:numPr>
          <w:ilvl w:val="0"/>
          <w:numId w:val="5"/>
        </w:numPr>
        <w:tabs>
          <w:tab w:val="clear" w:pos="720"/>
          <w:tab w:val="left" w:pos="0" w:leader="none"/>
        </w:tabs>
        <w:suppressAutoHyphens w:val="true"/>
        <w:ind w:hanging="720" w:start="2880" w:end="0"/>
        <w:rPr/>
      </w:pPr>
      <w:r>
        <w:rPr/>
        <w:t xml:space="preserve">the term of the replacement contract is the full remainder of the shipper’s 30-year term under its FTSA; </w:t>
      </w:r>
    </w:p>
    <w:p>
      <w:pPr>
        <w:pStyle w:val="Normal"/>
        <w:widowControl/>
        <w:numPr>
          <w:ilvl w:val="0"/>
          <w:numId w:val="5"/>
        </w:numPr>
        <w:tabs>
          <w:tab w:val="clear" w:pos="720"/>
          <w:tab w:val="left" w:pos="0" w:leader="none"/>
        </w:tabs>
        <w:suppressAutoHyphens w:val="true"/>
        <w:ind w:hanging="720" w:start="2880" w:end="0"/>
        <w:rPr/>
      </w:pPr>
      <w:r>
        <w:rPr/>
        <w:t>UTS and all other Expansion-related contract and tariff rights must be irrevocably waived;</w:t>
      </w:r>
    </w:p>
    <w:p>
      <w:pPr>
        <w:pStyle w:val="Normal"/>
        <w:widowControl/>
        <w:numPr>
          <w:ilvl w:val="0"/>
          <w:numId w:val="5"/>
        </w:numPr>
        <w:tabs>
          <w:tab w:val="clear" w:pos="720"/>
          <w:tab w:val="left" w:pos="0" w:leader="none"/>
        </w:tabs>
        <w:suppressAutoHyphens w:val="true"/>
        <w:ind w:hanging="720" w:start="2880" w:end="0"/>
        <w:rPr/>
      </w:pPr>
      <w:r>
        <w:rPr/>
        <w:t>the contract for new service is pro forma (no negotiated agreements) and service is henceforth provided under AFT-Off and superseding tariff(s);</w:t>
      </w:r>
    </w:p>
    <w:p>
      <w:pPr>
        <w:pStyle w:val="Normal"/>
        <w:widowControl/>
        <w:numPr>
          <w:ilvl w:val="0"/>
          <w:numId w:val="5"/>
        </w:numPr>
        <w:tabs>
          <w:tab w:val="clear" w:pos="720"/>
          <w:tab w:val="left" w:pos="0" w:leader="none"/>
        </w:tabs>
        <w:suppressAutoHyphens w:val="true"/>
        <w:ind w:hanging="720" w:start="2880" w:end="0"/>
        <w:rPr/>
      </w:pPr>
      <w:r>
        <w:rPr/>
        <w:t>the shipper’s capacity is redesignated as non-Expansion capacity, as discussed in Section I.B.6; and</w:t>
      </w:r>
    </w:p>
    <w:p>
      <w:pPr>
        <w:pStyle w:val="Normal"/>
        <w:widowControl/>
        <w:numPr>
          <w:ilvl w:val="0"/>
          <w:numId w:val="5"/>
        </w:numPr>
        <w:tabs>
          <w:tab w:val="clear" w:pos="720"/>
          <w:tab w:val="left" w:pos="0" w:leader="none"/>
        </w:tabs>
        <w:suppressAutoHyphens w:val="true"/>
        <w:ind w:hanging="360" w:start="2880" w:end="0"/>
        <w:rPr/>
      </w:pPr>
      <w:r>
        <w:rPr/>
        <w:t>PG&amp;E will offer consideration as payment for the shipper’s waiver of UTS rights.</w:t>
      </w:r>
    </w:p>
    <w:p>
      <w:pPr>
        <w:pStyle w:val="Heading5"/>
        <w:widowControl/>
        <w:rPr/>
      </w:pPr>
      <w:r>
        <w:rPr/>
        <w:t>ii.</w:t>
        <w:tab/>
      </w:r>
      <w:r>
        <w:rPr>
          <w:u w:val="single"/>
        </w:rPr>
        <w:t>G-XF Firm Service:</w:t>
      </w:r>
      <w:r>
        <w:rPr/>
        <w:t xml:space="preserve">  Those firm Expansion shippers that do not elect one of the other options set forth herein will continue to receive service under G-XF, as described below:</w:t>
      </w:r>
    </w:p>
    <w:p>
      <w:pPr>
        <w:pStyle w:val="Normal"/>
        <w:widowControl/>
        <w:numPr>
          <w:ilvl w:val="0"/>
          <w:numId w:val="6"/>
        </w:numPr>
        <w:tabs>
          <w:tab w:val="clear" w:pos="720"/>
          <w:tab w:val="left" w:pos="0" w:leader="none"/>
        </w:tabs>
        <w:suppressAutoHyphens w:val="true"/>
        <w:ind w:hanging="720" w:start="2880" w:end="0"/>
        <w:rPr/>
      </w:pPr>
      <w:r>
        <w:rPr/>
        <w:t>Rates are based on a $736 million capital cost, using PG&amp;E’s proposed cost of capital and utility capital structure;</w:t>
      </w:r>
    </w:p>
    <w:p>
      <w:pPr>
        <w:pStyle w:val="Normal"/>
        <w:widowControl/>
        <w:numPr>
          <w:ilvl w:val="0"/>
          <w:numId w:val="6"/>
        </w:numPr>
        <w:tabs>
          <w:tab w:val="clear" w:pos="720"/>
          <w:tab w:val="left" w:pos="0" w:leader="none"/>
        </w:tabs>
        <w:suppressAutoHyphens w:val="true"/>
        <w:ind w:hanging="720" w:start="2880" w:end="0"/>
        <w:rPr/>
      </w:pPr>
      <w:r>
        <w:rPr/>
        <w:t xml:space="preserve">Rates remain incremental and are based on the operating expenses and cost allocation methodologies proposed by PG&amp;E in its PEPR Application; </w:t>
      </w:r>
    </w:p>
    <w:p>
      <w:pPr>
        <w:pStyle w:val="Normal"/>
        <w:widowControl/>
        <w:numPr>
          <w:ilvl w:val="0"/>
          <w:numId w:val="6"/>
        </w:numPr>
        <w:tabs>
          <w:tab w:val="clear" w:pos="720"/>
          <w:tab w:val="left" w:pos="0" w:leader="none"/>
        </w:tabs>
        <w:suppressAutoHyphens w:val="true"/>
        <w:ind w:hanging="720" w:start="2880" w:end="0"/>
        <w:rPr/>
      </w:pPr>
      <w:r>
        <w:rPr/>
        <w:t>The G-XF firm service continues to apply, but is modified to reflect the revenue requirement assumptions above, and the backbone credit and crossover ban are eliminated;</w:t>
      </w:r>
    </w:p>
    <w:p>
      <w:pPr>
        <w:pStyle w:val="Normal"/>
        <w:widowControl/>
        <w:numPr>
          <w:ilvl w:val="0"/>
          <w:numId w:val="6"/>
        </w:numPr>
        <w:tabs>
          <w:tab w:val="clear" w:pos="720"/>
          <w:tab w:val="left" w:pos="0" w:leader="none"/>
        </w:tabs>
        <w:suppressAutoHyphens w:val="true"/>
        <w:ind w:hanging="720" w:start="2880" w:end="0"/>
        <w:rPr/>
      </w:pPr>
      <w:r>
        <w:rPr/>
        <w:t>UTS and all other contract rights remain applicable only to firm G-XF service; and</w:t>
      </w:r>
    </w:p>
    <w:p>
      <w:pPr>
        <w:pStyle w:val="Normal"/>
        <w:widowControl/>
        <w:numPr>
          <w:ilvl w:val="0"/>
          <w:numId w:val="6"/>
        </w:numPr>
        <w:tabs>
          <w:tab w:val="clear" w:pos="720"/>
          <w:tab w:val="left" w:pos="0" w:leader="none"/>
        </w:tabs>
        <w:suppressAutoHyphens w:val="true"/>
        <w:ind w:hanging="360" w:start="2880" w:end="0"/>
        <w:rPr/>
      </w:pPr>
      <w:r>
        <w:rPr/>
        <w:t>Delivery points are as set forth in Exhibit A to each shipper’s FTSA.</w:t>
      </w:r>
    </w:p>
    <w:p>
      <w:pPr>
        <w:pStyle w:val="Heading4"/>
        <w:keepNext w:val="false"/>
        <w:keepLines w:val="false"/>
        <w:widowControl/>
        <w:rPr/>
      </w:pPr>
      <w:r>
        <w:rPr/>
        <w:t>c.</w:t>
        <w:tab/>
      </w:r>
      <w:r>
        <w:rPr>
          <w:u w:val="single"/>
        </w:rPr>
        <w:t>Other Options</w:t>
      </w:r>
      <w:r>
        <w:rPr/>
        <w:t xml:space="preserve">:  PG&amp;E is also offering the following three options to firm Expansion shippers.  The following descriptions set forth PG&amp;E’s vision of these options, but each option will be negotiated with any interested shipper, and specific terms and conditions may vary as a result of those negotiations.  The shippers may elect one of these options by executing the appropriate agreement with PG&amp;E on or before the earlier of (1) December 1, 1996, or (2) the date the CPUC approves this Accord Settlement Agreement.  </w:t>
      </w:r>
    </w:p>
    <w:p>
      <w:pPr>
        <w:pStyle w:val="Heading5"/>
        <w:keepNext w:val="false"/>
        <w:keepLines w:val="false"/>
        <w:widowControl/>
        <w:rPr/>
      </w:pPr>
      <w:r>
        <w:rPr/>
        <w:t>i.</w:t>
        <w:tab/>
      </w:r>
      <w:r>
        <w:rPr>
          <w:u w:val="single"/>
        </w:rPr>
        <w:t>Negotiated Contract Amendments</w:t>
      </w:r>
      <w:r>
        <w:rPr/>
        <w:t>:  A shipper may elect either a discounted rate (to be negotiated with PG&amp;E), which is fixed for the term of the Gas Accord, or a market index rate, which would fluctuate during the term of the Gas Accord within a negotiated floor and ceiling based on differentials between Southwest and Canadian prices.  Service under either rate option, once agreed to, will be provided under G-XF, as modified by the Gas Accord.  At the end of the Gas Accord term, and for the remainder of the shipper’s    30-year contract term, rates will be set based on a Line 401 capital cost of $736 million.  Beginning on the date the contract amendment is executed, the shipper must waive its UTS provision for the remainder of its 30-year contract term.</w:t>
      </w:r>
    </w:p>
    <w:p>
      <w:pPr>
        <w:pStyle w:val="Heading5"/>
        <w:widowControl/>
        <w:rPr/>
      </w:pPr>
      <w:r>
        <w:rPr/>
        <w:t>ii.</w:t>
        <w:tab/>
      </w:r>
      <w:r>
        <w:rPr>
          <w:u w:val="single"/>
        </w:rPr>
        <w:t>Contract buyout</w:t>
      </w:r>
      <w:r>
        <w:rPr/>
        <w:t>:  A shipper may terminate its contract obligations either by making a single payment to PG&amp;E or accelerating payment of demand charges by means of a higher negotiated rate for a specified negotiated term.  In either case, PG&amp;E intends that the payment shall be of a sum less than the full NPV of the remainder of the shipper’s 30-year contract term.  Upon payment of the full negotiated buyout amount, the shipper’s contract with PG&amp;E for Expansion transportation service, and all rights and obligations under that contract, shall terminate, and the capacity released thereby shall be redesignated as non-Expansion capacity and shall become part of the pool of capacity used to provide Accord transmission services.  If a shipper elects the accelerated payment option, service for the term of such payment will be provided under G-XF, as modified by the Gas Accord, and the shipper must waive its UTS provision immediately.</w:t>
      </w:r>
    </w:p>
    <w:p>
      <w:pPr>
        <w:pStyle w:val="Heading5"/>
        <w:widowControl/>
        <w:rPr/>
      </w:pPr>
      <w:r>
        <w:rPr/>
        <w:t>iii.</w:t>
        <w:tab/>
      </w:r>
      <w:r>
        <w:rPr>
          <w:u w:val="single"/>
        </w:rPr>
        <w:t>Equity Purchase</w:t>
      </w:r>
      <w:r>
        <w:rPr/>
        <w:t>:  A shipper may convert its firm service to an equity interest in Line 401 at a purchase price to be negotiated with PG&amp;E.  Under this option, the shipper would purchase a share of Line 401 at least equal to the firm Maximum Daily Quantity (MDQ) set forth in Exhibit A to the shipper’s FTSA.</w:t>
      </w:r>
    </w:p>
    <w:p>
      <w:pPr>
        <w:pStyle w:val="Heading3"/>
        <w:keepNext w:val="false"/>
        <w:keepLines w:val="false"/>
        <w:widowControl/>
        <w:suppressAutoHyphens w:val="true"/>
        <w:rPr/>
      </w:pPr>
      <w:r>
        <w:rPr/>
        <w:t>2.</w:t>
        <w:tab/>
        <w:t>EAD Contracts</w:t>
      </w:r>
    </w:p>
    <w:p>
      <w:pPr>
        <w:pStyle w:val="Normal"/>
        <w:widowControl/>
        <w:suppressAutoHyphens w:val="true"/>
        <w:ind w:start="1440" w:end="0"/>
        <w:rPr/>
      </w:pPr>
      <w:r>
        <w:rPr/>
      </w:r>
    </w:p>
    <w:p>
      <w:pPr>
        <w:pStyle w:val="Normal"/>
        <w:widowControl/>
        <w:suppressAutoHyphens w:val="true"/>
        <w:ind w:start="1080" w:end="0"/>
        <w:rPr/>
      </w:pPr>
      <w:r>
        <w:rPr/>
        <w:t>The EAD contracts provide the equivalent of contract rights as firm transportation service (AFT) on the Topock to on-system path, but at the contract volumetric rate. The EAD customers will have the option of continuing to receive the same bundled transportation service, or taking service under a Gas Accord contract.  Service under Gas Accord contracts will contribute to any use-or-pay obligations under the EAD contract.  Because of the unique terms and conditions in the various EAD contracts, individual discussions are needed as to how specific contract provisions will be implemented in the Gas Accord contract environment.</w:t>
      </w:r>
    </w:p>
    <w:p>
      <w:pPr>
        <w:pStyle w:val="Normal"/>
        <w:widowControl/>
        <w:suppressAutoHyphens w:val="true"/>
        <w:ind w:start="1080" w:end="0"/>
        <w:rPr/>
      </w:pPr>
      <w:r>
        <w:rPr/>
      </w:r>
    </w:p>
    <w:p>
      <w:pPr>
        <w:pStyle w:val="Heading3"/>
        <w:keepNext w:val="false"/>
        <w:keepLines w:val="false"/>
        <w:widowControl/>
        <w:suppressAutoHyphens w:val="true"/>
        <w:rPr/>
      </w:pPr>
      <w:r>
        <w:rPr/>
        <w:t>3.</w:t>
        <w:tab/>
        <w:t>EOR Contracts</w:t>
      </w:r>
    </w:p>
    <w:p>
      <w:pPr>
        <w:pStyle w:val="Normal"/>
        <w:widowControl/>
        <w:rPr/>
      </w:pPr>
      <w:r>
        <w:rPr/>
      </w:r>
    </w:p>
    <w:p>
      <w:pPr>
        <w:pStyle w:val="Normal"/>
        <w:widowControl/>
        <w:ind w:start="1080" w:end="0"/>
        <w:rPr/>
      </w:pPr>
      <w:r>
        <w:rPr/>
        <w:t xml:space="preserve">In Decisions 85-12-102 and 87-05-046, the Commission established a long-term transportation program and set the criteria for Enhanced Oil Recovery (EOR) contracts.  Existing EOR contracts will be treated based on the Commission’s decisions during the Accord period, or until the expiration date of such contracts, whichever is earlier.  Future EOR service will be provided based on the terms and conditions of Accord services. </w:t>
      </w:r>
    </w:p>
    <w:p>
      <w:pPr>
        <w:pStyle w:val="Normal"/>
        <w:widowControl/>
        <w:ind w:start="1080" w:end="0"/>
        <w:rPr/>
      </w:pPr>
      <w:r>
        <w:rPr/>
      </w:r>
    </w:p>
    <w:p>
      <w:pPr>
        <w:pStyle w:val="Normal"/>
        <w:widowControl/>
        <w:ind w:start="1080" w:end="0"/>
        <w:rPr/>
      </w:pPr>
      <w:r>
        <w:rPr/>
      </w:r>
    </w:p>
    <w:p>
      <w:pPr>
        <w:pStyle w:val="Normal"/>
        <w:widowControl/>
        <w:ind w:start="1080" w:end="0"/>
        <w:rPr/>
      </w:pPr>
      <w:r>
        <w:rPr/>
      </w:r>
    </w:p>
    <w:p>
      <w:pPr>
        <w:pStyle w:val="Heading3"/>
        <w:keepNext w:val="false"/>
        <w:keepLines w:val="false"/>
        <w:widowControl/>
        <w:suppressAutoHyphens w:val="true"/>
        <w:rPr/>
      </w:pPr>
      <w:r>
        <w:rPr/>
        <w:t>4.</w:t>
        <w:tab/>
        <w:t xml:space="preserve">EDCD Agreements </w:t>
      </w:r>
    </w:p>
    <w:p>
      <w:pPr>
        <w:pStyle w:val="Normal"/>
        <w:widowControl/>
        <w:suppressAutoHyphens w:val="true"/>
        <w:ind w:start="1080" w:end="0"/>
        <w:rPr/>
      </w:pPr>
      <w:r>
        <w:rPr/>
      </w:r>
    </w:p>
    <w:p>
      <w:pPr>
        <w:pStyle w:val="Normal"/>
        <w:widowControl/>
        <w:suppressAutoHyphens w:val="true"/>
        <w:ind w:start="1080" w:end="0"/>
        <w:rPr/>
      </w:pPr>
      <w:r>
        <w:rPr/>
        <w:t>In Decision 94-12-061, the Commission established the Expedited Direct Connection Docket (EDCD) for case-by-case approval of direct connection service on PG&amp;E’s Line 401.  PG&amp;E has one EDCD application (A.96-04-007) pending before the Commission and may file additional applications.  To the extent these applications are approved before the Gas Accord is implemented, the underlying agreements shall continue in effect during the Gas Accord until they expire.  Otherwise, new services are provided consistent with the Accord services.</w:t>
      </w:r>
    </w:p>
    <w:p>
      <w:pPr>
        <w:pStyle w:val="Heading3"/>
        <w:keepNext w:val="false"/>
        <w:keepLines w:val="false"/>
        <w:widowControl/>
        <w:suppressAutoHyphens w:val="true"/>
        <w:rPr/>
      </w:pPr>
      <w:r>
        <w:rPr/>
        <w:t>5.</w:t>
        <w:tab/>
        <w:t xml:space="preserve">Other Existing Agreements </w:t>
      </w:r>
    </w:p>
    <w:p>
      <w:pPr>
        <w:pStyle w:val="Heading4"/>
        <w:widowControl/>
        <w:rPr/>
      </w:pPr>
      <w:r>
        <w:rPr/>
        <w:t>a.</w:t>
        <w:tab/>
        <w:t>Negotiated Interruptible Agreements</w:t>
      </w:r>
    </w:p>
    <w:p>
      <w:pPr>
        <w:pStyle w:val="Normal"/>
        <w:widowControl/>
        <w:ind w:start="1440" w:end="0"/>
        <w:rPr/>
      </w:pPr>
      <w:r>
        <w:rPr/>
        <w:t>PG&amp;E has a number of negotiable interruptible transportation agreements with terms that may extend into the Accord period.  PG&amp;E will continue to honor the terms and conditions, including the rate, negotiated for the original term of these contracts.  Because the underlying tariff (G-ITS) will be eliminated upon Accord implementation, these terms and conditions will be carried out through an NAA contract.</w:t>
      </w:r>
    </w:p>
    <w:p>
      <w:pPr>
        <w:pStyle w:val="Heading4"/>
        <w:keepNext w:val="false"/>
        <w:keepLines w:val="false"/>
        <w:widowControl/>
        <w:suppressAutoHyphens w:val="true"/>
        <w:rPr/>
      </w:pPr>
      <w:r>
        <w:rPr/>
        <w:t>b.</w:t>
        <w:tab/>
        <w:t>Crockett Cogeneration</w:t>
      </w:r>
    </w:p>
    <w:p>
      <w:pPr>
        <w:pStyle w:val="Normal"/>
        <w:widowControl/>
        <w:ind w:start="1440" w:end="0"/>
        <w:rPr/>
      </w:pPr>
      <w:r>
        <w:rPr/>
        <w:t>Crockett cogeneration has a negotiated contract which provides for transportation service at volumetric rates.  PG&amp;E will continue to honor the terms and conditions, including the rate, negotiated for the original term of this contract.  If any terms and conditions are unspecified by the existing contract agreement, then the applicable Gas Accord tariffs will apply.</w:t>
      </w:r>
    </w:p>
    <w:p>
      <w:pPr>
        <w:pStyle w:val="Heading3"/>
        <w:keepNext w:val="false"/>
        <w:keepLines w:val="false"/>
        <w:widowControl/>
        <w:suppressAutoHyphens w:val="true"/>
        <w:rPr/>
      </w:pPr>
      <w:r>
        <w:rPr/>
        <w:t>6.</w:t>
        <w:tab/>
        <w:t>SMUD</w:t>
      </w:r>
    </w:p>
    <w:p>
      <w:pPr>
        <w:pStyle w:val="Heading4"/>
        <w:widowControl/>
        <w:rPr/>
      </w:pPr>
      <w:r>
        <w:rPr/>
        <w:t>a.</w:t>
        <w:tab/>
        <w:t>Background</w:t>
      </w:r>
    </w:p>
    <w:p>
      <w:pPr>
        <w:pStyle w:val="Normal"/>
        <w:widowControl/>
        <w:ind w:start="1440" w:end="0"/>
        <w:rPr/>
      </w:pPr>
      <w:r>
        <w:rPr/>
        <w:t>Sacramento Municipal Utility District (SMUD), as the largest municipal utility in the state, is in a unique position and the Accord proposes a unique solution to meet its needs.  PG&amp;E and SMUD have agreed, subject to completing definitive agreements and obtaining CPUC approval, that PG&amp;E will sell to SMUD a qualified equity interest in Line 300 and Line 401 backbone facilities.</w:t>
      </w:r>
    </w:p>
    <w:p>
      <w:pPr>
        <w:pStyle w:val="Normal"/>
        <w:widowControl/>
        <w:ind w:start="1440" w:end="0"/>
        <w:rPr/>
      </w:pPr>
      <w:r>
        <w:rPr/>
      </w:r>
    </w:p>
    <w:p>
      <w:pPr>
        <w:pStyle w:val="Normal"/>
        <w:widowControl/>
        <w:ind w:start="1440" w:end="0"/>
        <w:rPr/>
      </w:pPr>
      <w:r>
        <w:rPr/>
        <w:t>This transaction along with the Interim and Contingent Rate discussed below, would settle SMUD’s BCAP Phase II issues.  The details of the transaction will be part of a Section 851 filing seeking CPUC approval of the asset sale.</w:t>
      </w:r>
    </w:p>
    <w:p>
      <w:pPr>
        <w:pStyle w:val="Heading4"/>
        <w:widowControl/>
        <w:rPr/>
      </w:pPr>
      <w:r>
        <w:rPr/>
        <w:t>b.</w:t>
        <w:tab/>
        <w:t>Interim and Contingent Rate</w:t>
      </w:r>
    </w:p>
    <w:p>
      <w:pPr>
        <w:pStyle w:val="Normal"/>
        <w:widowControl/>
        <w:ind w:start="1440" w:end="0"/>
        <w:rPr/>
      </w:pPr>
      <w:r>
        <w:rPr/>
        <w:t>Should the above asset transfers not occur before the Gas Accord becomes effective, there will be an interim rate, which is also a contingent rate in the event that the Section 851 filing is not approved as filed.  This rate will include a   $0.123  per Dth discount (escalated for inflation over time) from the local transmission charge component of the otherwise applicable tariff rates for gas delivered and received by SMUD or its affiliate to support its electric utility operations.  This rate treatment will terminate upon closing of SMUD’s purchase of a qualified, equity interest in Lines 300 and 401.</w:t>
      </w:r>
    </w:p>
    <w:p>
      <w:pPr>
        <w:pStyle w:val="Heading2"/>
        <w:keepNext w:val="false"/>
        <w:keepLines w:val="false"/>
        <w:widowControl/>
        <w:suppressAutoHyphens w:val="true"/>
        <w:rPr/>
      </w:pPr>
      <w:r>
        <w:rPr/>
        <w:t>G.</w:t>
        <w:tab/>
        <w:t>General Description of Transmission and Unbundled Storage Program Rates</w:t>
      </w:r>
    </w:p>
    <w:p>
      <w:pPr>
        <w:pStyle w:val="Heading3"/>
        <w:keepNext w:val="false"/>
        <w:keepLines w:val="false"/>
        <w:widowControl/>
        <w:suppressAutoHyphens w:val="true"/>
        <w:rPr/>
      </w:pPr>
      <w:r>
        <w:rPr/>
        <w:t>1.</w:t>
        <w:tab/>
        <w:t>Unbundle transmission and a portion of storage from distribution services.</w:t>
      </w:r>
    </w:p>
    <w:p>
      <w:pPr>
        <w:pStyle w:val="Heading3"/>
        <w:keepNext w:val="false"/>
        <w:keepLines w:val="false"/>
        <w:widowControl/>
        <w:suppressAutoHyphens w:val="true"/>
        <w:rPr/>
      </w:pPr>
      <w:r>
        <w:rPr/>
        <w:t>2.</w:t>
        <w:tab/>
        <w:t>Establish transmission, distribution, and storage rates based on cost of service.</w:t>
      </w:r>
    </w:p>
    <w:p>
      <w:pPr>
        <w:pStyle w:val="Heading3"/>
        <w:keepNext w:val="false"/>
        <w:keepLines w:val="false"/>
        <w:widowControl/>
        <w:suppressAutoHyphens w:val="true"/>
        <w:rPr/>
      </w:pPr>
      <w:r>
        <w:rPr/>
        <w:t>3.</w:t>
        <w:tab/>
        <w:t xml:space="preserve">Make transmission and storage service available to all entities, including end-users, shippers, producers and marketers.  </w:t>
      </w:r>
    </w:p>
    <w:p>
      <w:pPr>
        <w:pStyle w:val="Heading3"/>
        <w:keepNext w:val="false"/>
        <w:keepLines w:val="false"/>
        <w:widowControl/>
        <w:suppressAutoHyphens w:val="true"/>
        <w:rPr/>
      </w:pPr>
      <w:r>
        <w:rPr/>
        <w:t>4.</w:t>
        <w:tab/>
        <w:t xml:space="preserve">Collect social, environmental, and transition costs and balancing accounts from on-system end-use volumes. </w:t>
      </w:r>
    </w:p>
    <w:p>
      <w:pPr>
        <w:pStyle w:val="Heading3"/>
        <w:keepNext w:val="false"/>
        <w:keepLines w:val="false"/>
        <w:widowControl/>
        <w:suppressAutoHyphens w:val="true"/>
        <w:rPr/>
      </w:pPr>
      <w:r>
        <w:rPr/>
        <w:t>5.</w:t>
        <w:tab/>
        <w:t xml:space="preserve">Backbone rates associated with service to storage are paid upon injection.  For on-system deliveries, the remaining transmission rates are paid upon withdrawal. </w:t>
      </w:r>
    </w:p>
    <w:p>
      <w:pPr>
        <w:pStyle w:val="Heading3"/>
        <w:keepNext w:val="false"/>
        <w:keepLines w:val="false"/>
        <w:widowControl/>
        <w:suppressAutoHyphens w:val="true"/>
        <w:rPr/>
      </w:pPr>
      <w:r>
        <w:rPr/>
        <w:t>6.</w:t>
        <w:tab/>
        <w:t>New Transmission Rates</w:t>
      </w:r>
    </w:p>
    <w:p>
      <w:pPr>
        <w:pStyle w:val="Heading4"/>
        <w:keepNext w:val="false"/>
        <w:keepLines w:val="false"/>
        <w:widowControl/>
        <w:suppressAutoHyphens w:val="true"/>
        <w:rPr/>
      </w:pPr>
      <w:r>
        <w:rPr/>
        <w:t>a.</w:t>
        <w:tab/>
        <w:t>Differentiate transmission rates by path to reflect facilities used to provide service.</w:t>
      </w:r>
    </w:p>
    <w:p>
      <w:pPr>
        <w:pStyle w:val="Heading4"/>
        <w:keepNext w:val="false"/>
        <w:keepLines w:val="false"/>
        <w:widowControl/>
        <w:suppressAutoHyphens w:val="true"/>
        <w:rPr/>
      </w:pPr>
      <w:r>
        <w:rPr/>
        <w:t>b.</w:t>
        <w:tab/>
        <w:t xml:space="preserve">Establish two-part firm rates (reservation and usage charges) and one-part As-available rates (volumetric or usage charges). </w:t>
      </w:r>
    </w:p>
    <w:p>
      <w:pPr>
        <w:pStyle w:val="Heading4"/>
        <w:keepNext w:val="false"/>
        <w:keepLines w:val="false"/>
        <w:widowControl/>
        <w:suppressAutoHyphens w:val="true"/>
        <w:rPr/>
      </w:pPr>
      <w:r>
        <w:rPr/>
        <w:t>c.</w:t>
        <w:tab/>
        <w:t>Establish a customer access charge to cover the costs of meters and service drops, meter reading, billing and payment processing where applicable.</w:t>
      </w:r>
    </w:p>
    <w:p>
      <w:pPr>
        <w:pStyle w:val="Normal"/>
        <w:widowControl/>
        <w:suppressAutoHyphens w:val="true"/>
        <w:rPr/>
      </w:pPr>
      <w:r>
        <w:rPr/>
      </w:r>
    </w:p>
    <w:p>
      <w:pPr>
        <w:pStyle w:val="Heading3"/>
        <w:keepNext w:val="false"/>
        <w:keepLines w:val="false"/>
        <w:widowControl/>
        <w:suppressAutoHyphens w:val="true"/>
        <w:spacing w:before="0" w:after="0"/>
        <w:rPr/>
      </w:pPr>
      <w:r>
        <w:rPr/>
        <w:t>7.</w:t>
        <w:tab/>
        <w:t>Pre-existing Transmission Rates</w:t>
      </w:r>
    </w:p>
    <w:p>
      <w:pPr>
        <w:pStyle w:val="Normal"/>
        <w:widowControl/>
        <w:ind w:start="1080" w:end="0"/>
        <w:rPr/>
      </w:pPr>
      <w:r>
        <w:rPr/>
        <w:t xml:space="preserve"> </w:t>
      </w:r>
      <w:r>
        <w:rPr/>
        <w:t xml:space="preserve">For those services with pre-existing contracts discussed in Section II.F, charge the rates shown in Section II.B. </w:t>
      </w:r>
    </w:p>
    <w:p>
      <w:pPr>
        <w:pStyle w:val="Normal"/>
        <w:widowControl/>
        <w:ind w:start="1080" w:end="0"/>
        <w:rPr/>
      </w:pPr>
      <w:r>
        <w:rPr/>
      </w:r>
    </w:p>
    <w:p>
      <w:pPr>
        <w:pStyle w:val="Heading3"/>
        <w:keepNext w:val="false"/>
        <w:keepLines w:val="false"/>
        <w:widowControl/>
        <w:suppressAutoHyphens w:val="true"/>
        <w:spacing w:before="0" w:after="0"/>
        <w:rPr/>
      </w:pPr>
      <w:r>
        <w:rPr/>
        <w:t>8.</w:t>
        <w:tab/>
        <w:t>Storage Rates for the Unbundled Storage Program</w:t>
      </w:r>
    </w:p>
    <w:p>
      <w:pPr>
        <w:pStyle w:val="Heading4"/>
        <w:keepNext w:val="false"/>
        <w:keepLines w:val="false"/>
        <w:widowControl/>
        <w:suppressAutoHyphens w:val="true"/>
        <w:rPr/>
      </w:pPr>
      <w:r>
        <w:rPr/>
        <w:t>a.</w:t>
        <w:tab/>
        <w:t>Establish two-part (reservation and volumetric) rates for both the capacity (injection and inventory) and withdrawal subfunctions for Firm Storage Service.</w:t>
      </w:r>
    </w:p>
    <w:p>
      <w:pPr>
        <w:pStyle w:val="Heading4"/>
        <w:keepNext w:val="false"/>
        <w:keepLines w:val="false"/>
        <w:widowControl/>
        <w:suppressAutoHyphens w:val="true"/>
        <w:rPr/>
      </w:pPr>
      <w:r>
        <w:rPr/>
        <w:t>b.</w:t>
        <w:tab/>
        <w:t xml:space="preserve">Negotiated storage rates may be based on three subfunctions (inventory, injection, and withdrawal) and may be either one-part or two-part rates. </w:t>
      </w:r>
    </w:p>
    <w:p>
      <w:pPr>
        <w:pStyle w:val="BodyText"/>
        <w:rPr/>
      </w:pPr>
      <w:r>
        <w:rPr/>
      </w:r>
    </w:p>
    <w:p>
      <w:pPr>
        <w:pStyle w:val="BodyText"/>
        <w:rPr/>
      </w:pPr>
      <w:r>
        <w:rPr/>
      </w:r>
    </w:p>
    <w:p>
      <w:pPr>
        <w:pStyle w:val="Heading2"/>
        <w:keepNext w:val="false"/>
        <w:keepLines w:val="false"/>
        <w:widowControl/>
        <w:suppressAutoHyphens w:val="true"/>
        <w:rPr/>
      </w:pPr>
      <w:r>
        <w:rPr/>
        <w:t>H.</w:t>
        <w:tab/>
        <w:t>Transmission and Unbundled Storage Program Rates</w:t>
      </w:r>
    </w:p>
    <w:p>
      <w:pPr>
        <w:pStyle w:val="Heading3"/>
        <w:keepNext w:val="false"/>
        <w:keepLines w:val="false"/>
        <w:widowControl/>
        <w:suppressAutoHyphens w:val="true"/>
        <w:rPr/>
      </w:pPr>
      <w:r>
        <w:rPr/>
        <w:t>1.</w:t>
        <w:tab/>
        <w:t>New Transmission Rates</w:t>
      </w:r>
    </w:p>
    <w:p>
      <w:pPr>
        <w:pStyle w:val="Heading4"/>
        <w:keepNext w:val="false"/>
        <w:keepLines w:val="false"/>
        <w:widowControl/>
        <w:suppressAutoHyphens w:val="true"/>
        <w:rPr/>
      </w:pPr>
      <w:r>
        <w:rPr/>
        <w:t>a.</w:t>
        <w:tab/>
        <w:t xml:space="preserve">Four rate components will be applicable to on-system transmission service.  A backbone transmission charge, a local transmission charge, a customer class charge, and a customer access charge.  Shippers delivering on-system will be charged the backbone transmission charge, and corresponding end-users will be charged the local transmission charge, the customer class charge and customer access charge.  </w:t>
      </w:r>
    </w:p>
    <w:p>
      <w:pPr>
        <w:pStyle w:val="Heading4"/>
        <w:keepNext w:val="false"/>
        <w:keepLines w:val="false"/>
        <w:widowControl/>
        <w:suppressAutoHyphens w:val="true"/>
        <w:rPr/>
      </w:pPr>
      <w:r>
        <w:rPr/>
        <w:t>b.</w:t>
        <w:tab/>
        <w:t>The backbone transmission charge, the local transmission charge, and the transmission-level customer access charge, will not change from the rate set forth in this Accord, except pursuant to the z</w:t>
        <w:noBreakHyphen/>
        <w:t>factor.</w:t>
      </w:r>
    </w:p>
    <w:p>
      <w:pPr>
        <w:pStyle w:val="Heading4"/>
        <w:keepNext w:val="false"/>
        <w:keepLines w:val="false"/>
        <w:widowControl/>
        <w:suppressAutoHyphens w:val="true"/>
        <w:rPr/>
      </w:pPr>
      <w:r>
        <w:rPr/>
        <w:t>c.</w:t>
        <w:tab/>
        <w:t xml:space="preserve">New off-system transmission service under the Accord includes a backbone transmission charge, and a customer access charge where applicable. The backbone transmission and customer access charges are guaranteed except for the z-factor. </w:t>
      </w:r>
    </w:p>
    <w:p>
      <w:pPr>
        <w:pStyle w:val="Heading4"/>
        <w:keepNext w:val="false"/>
        <w:keepLines w:val="false"/>
        <w:widowControl/>
        <w:suppressAutoHyphens w:val="true"/>
        <w:rPr/>
      </w:pPr>
      <w:r>
        <w:rPr/>
        <w:t>d.</w:t>
        <w:tab/>
        <w:t>Backbone Transmission Charge</w:t>
      </w:r>
    </w:p>
    <w:p>
      <w:pPr>
        <w:pStyle w:val="Heading5"/>
        <w:keepNext w:val="false"/>
        <w:keepLines w:val="false"/>
        <w:widowControl/>
        <w:suppressAutoHyphens w:val="true"/>
        <w:rPr/>
      </w:pPr>
      <w:r>
        <w:rPr/>
        <w:t>i.</w:t>
        <w:tab/>
        <w:t>The backbone transmission charge is designed to collect backbone transmission revenues and is applicable to all transmission customers.</w:t>
      </w:r>
    </w:p>
    <w:p>
      <w:pPr>
        <w:pStyle w:val="Heading5"/>
        <w:keepNext w:val="false"/>
        <w:keepLines w:val="false"/>
        <w:widowControl/>
        <w:suppressAutoHyphens w:val="true"/>
        <w:rPr/>
      </w:pPr>
      <w:r>
        <w:rPr/>
        <w:t>ii.</w:t>
        <w:tab/>
        <w:t xml:space="preserve">The retail core market receives 600 MMcf/d (609 Mdth/d) and the core wholesale market receives up to 6.5 MMcf/d (6.6 Mdth/d) of Malin to on-system firm intrastate capacity at vintaged rates.  </w:t>
      </w:r>
    </w:p>
    <w:p>
      <w:pPr>
        <w:pStyle w:val="Heading5"/>
        <w:keepNext w:val="false"/>
        <w:keepLines w:val="false"/>
        <w:widowControl/>
        <w:suppressAutoHyphens w:val="true"/>
        <w:rPr/>
      </w:pPr>
      <w:r>
        <w:rPr/>
        <w:t>iii.</w:t>
        <w:tab/>
        <w:t>The Malin to on-system rate is based on an intrastate capacity phase-in, over the period from 1997 through 2002 of 375 MMcf/d (381 Mdth/d) of Line 401 and the portion of Line 400 embedded costs not allocated to the retail core and core wholesale.</w:t>
      </w:r>
    </w:p>
    <w:p>
      <w:pPr>
        <w:pStyle w:val="Heading4"/>
        <w:keepNext w:val="false"/>
        <w:keepLines w:val="false"/>
        <w:widowControl/>
        <w:suppressAutoHyphens w:val="true"/>
        <w:rPr/>
      </w:pPr>
      <w:r>
        <w:rPr/>
        <w:t>e.</w:t>
        <w:tab/>
        <w:t>The local transmission charge collects local transmission costs and is applicable to all on-system end-users.</w:t>
      </w:r>
    </w:p>
    <w:p>
      <w:pPr>
        <w:pStyle w:val="Heading4"/>
        <w:keepNext w:val="false"/>
        <w:keepLines w:val="false"/>
        <w:widowControl/>
        <w:suppressAutoHyphens w:val="true"/>
        <w:rPr/>
      </w:pPr>
      <w:r>
        <w:rPr/>
        <w:t>f.</w:t>
        <w:tab/>
        <w:t>The customer class charge includes social, environmental and transition costs, balancing account balances and all other non-base revenue requirements.  Some of the costs included in this charge are CARE, CEE programs, hazardous substance, and ITCS costs.  It is generally applicable to all on-system end-users.</w:t>
      </w:r>
    </w:p>
    <w:p>
      <w:pPr>
        <w:pStyle w:val="Heading4"/>
        <w:keepNext w:val="false"/>
        <w:keepLines w:val="false"/>
        <w:widowControl/>
        <w:suppressAutoHyphens w:val="true"/>
        <w:rPr/>
      </w:pPr>
      <w:r>
        <w:rPr/>
        <w:t>g.</w:t>
        <w:tab/>
        <w:t xml:space="preserve">The customer access charge includes the cost of meters and service drops, meter reading, billing and payment processing, and is applicable to the customers to whom PG&amp;E provides these services (see Section II.I.10). </w:t>
      </w:r>
    </w:p>
    <w:p>
      <w:pPr>
        <w:pStyle w:val="Heading4"/>
        <w:keepNext w:val="false"/>
        <w:keepLines w:val="false"/>
        <w:widowControl/>
        <w:suppressAutoHyphens w:val="true"/>
        <w:rPr/>
      </w:pPr>
      <w:r>
        <w:rPr/>
        <w:t>h.</w:t>
        <w:tab/>
        <w:t>Transmission rates for AFT, SFT, and AA are shown in Section VI.</w:t>
      </w:r>
    </w:p>
    <w:p>
      <w:pPr>
        <w:pStyle w:val="Heading3"/>
        <w:keepNext w:val="false"/>
        <w:keepLines w:val="false"/>
        <w:widowControl/>
        <w:suppressAutoHyphens w:val="true"/>
        <w:rPr/>
      </w:pPr>
      <w:r>
        <w:rPr/>
        <w:t>2.</w:t>
        <w:tab/>
        <w:t>Pre-existing Transmission Rates</w:t>
      </w:r>
    </w:p>
    <w:p>
      <w:pPr>
        <w:pStyle w:val="Normal"/>
        <w:widowControl/>
        <w:ind w:start="1440" w:end="0"/>
        <w:rPr/>
      </w:pPr>
      <w:r>
        <w:rPr/>
      </w:r>
    </w:p>
    <w:p>
      <w:pPr>
        <w:pStyle w:val="Normal"/>
        <w:widowControl/>
        <w:ind w:start="1080" w:end="0"/>
        <w:rPr/>
      </w:pPr>
      <w:r>
        <w:rPr/>
        <w:t>Pre-existing services and contracts are discussed in Sections II.B and II.F.</w:t>
      </w:r>
    </w:p>
    <w:p>
      <w:pPr>
        <w:pStyle w:val="Heading3"/>
        <w:keepNext w:val="false"/>
        <w:keepLines w:val="false"/>
        <w:widowControl/>
        <w:suppressAutoHyphens w:val="true"/>
        <w:rPr/>
      </w:pPr>
      <w:r>
        <w:rPr/>
        <w:t>3.</w:t>
        <w:tab/>
        <w:t xml:space="preserve">Storage Rates for the Unbundled Storage Program </w:t>
      </w:r>
    </w:p>
    <w:p>
      <w:pPr>
        <w:pStyle w:val="Heading4"/>
        <w:keepNext w:val="false"/>
        <w:keepLines w:val="false"/>
        <w:widowControl/>
        <w:suppressAutoHyphens w:val="true"/>
        <w:rPr/>
      </w:pPr>
      <w:r>
        <w:rPr/>
        <w:t>a.</w:t>
        <w:tab/>
        <w:t>Rates for storage services are based on the costs of storage injection, inventory and withdrawal.</w:t>
      </w:r>
    </w:p>
    <w:p>
      <w:pPr>
        <w:pStyle w:val="Heading4"/>
        <w:keepNext w:val="false"/>
        <w:keepLines w:val="false"/>
        <w:widowControl/>
        <w:suppressAutoHyphens w:val="true"/>
        <w:rPr/>
      </w:pPr>
      <w:r>
        <w:rPr/>
        <w:t>b.</w:t>
        <w:tab/>
        <w:t xml:space="preserve">Firm Storage </w:t>
      </w:r>
    </w:p>
    <w:p>
      <w:pPr>
        <w:pStyle w:val="Heading5"/>
        <w:keepNext w:val="false"/>
        <w:keepLines w:val="false"/>
        <w:widowControl/>
        <w:suppressAutoHyphens w:val="true"/>
        <w:rPr/>
      </w:pPr>
      <w:r>
        <w:rPr/>
        <w:t>i.</w:t>
        <w:tab/>
        <w:t>Rates are subfunctionalized by a capacity (combined injection and inventory) charge and withdrawal charge.</w:t>
      </w:r>
    </w:p>
    <w:p>
      <w:pPr>
        <w:pStyle w:val="Heading5"/>
        <w:keepNext w:val="false"/>
        <w:keepLines w:val="false"/>
        <w:widowControl/>
        <w:suppressAutoHyphens w:val="true"/>
        <w:rPr/>
      </w:pPr>
      <w:r>
        <w:rPr/>
        <w:t>ii.</w:t>
        <w:tab/>
        <w:t>Capacity and withdrawal charges are recovered through a reservation (fixed) and volumetric (variable) component.</w:t>
      </w:r>
    </w:p>
    <w:p>
      <w:pPr>
        <w:pStyle w:val="Heading4"/>
        <w:keepNext w:val="false"/>
        <w:keepLines w:val="false"/>
        <w:widowControl/>
        <w:suppressAutoHyphens w:val="true"/>
        <w:rPr/>
      </w:pPr>
      <w:r>
        <w:rPr/>
        <w:t>c.</w:t>
        <w:tab/>
        <w:t>Negotiated Firm and As-available services are negotiable above a price floor representing PG&amp;E’s short-run marginal cost of providing the service.</w:t>
      </w:r>
    </w:p>
    <w:p>
      <w:pPr>
        <w:pStyle w:val="Heading4"/>
        <w:keepNext w:val="false"/>
        <w:keepLines w:val="false"/>
        <w:widowControl/>
        <w:suppressAutoHyphens w:val="true"/>
        <w:rPr/>
      </w:pPr>
      <w:r>
        <w:rPr/>
        <w:t>d.</w:t>
        <w:tab/>
        <w:t>Negotiated Firm rates can be recovered through a volumetric-only charge or a reservation and volumetric charge.</w:t>
      </w:r>
    </w:p>
    <w:p>
      <w:pPr>
        <w:pStyle w:val="Heading4"/>
        <w:keepNext w:val="false"/>
        <w:keepLines w:val="false"/>
        <w:widowControl/>
        <w:suppressAutoHyphens w:val="true"/>
        <w:rPr/>
      </w:pPr>
      <w:r>
        <w:rPr/>
        <w:t>e.</w:t>
        <w:tab/>
        <w:t>Negotiated As-available Storage Injection and Withdrawal rates are recovered through a volumetric charge only.</w:t>
      </w:r>
    </w:p>
    <w:p>
      <w:pPr>
        <w:pStyle w:val="Heading4"/>
        <w:widowControl/>
        <w:rPr/>
      </w:pPr>
      <w:r>
        <w:rPr/>
        <w:t>f.</w:t>
        <w:tab/>
        <w:t>Negotiated storage rates (NFS and NAS) are capped at the price which will collect 100 percent of PG&amp;E’s total embedded cost revenue requirement for the unbundled storage program for each of the three storage subfunctions (e.g., inventory, injection, or withdrawal).  The flexibility inherent in this storage offer could result in stranded facilities and PG&amp;E requires the opportunity to collect the value of its storage services.</w:t>
      </w:r>
    </w:p>
    <w:p>
      <w:pPr>
        <w:pStyle w:val="Heading4"/>
        <w:keepNext w:val="false"/>
        <w:keepLines w:val="false"/>
        <w:widowControl/>
        <w:suppressAutoHyphens w:val="true"/>
        <w:rPr/>
      </w:pPr>
      <w:r>
        <w:rPr/>
        <w:t>g.</w:t>
        <w:tab/>
        <w:t xml:space="preserve">Firm storage rates for the unbundled storage program are shown in Section VI.   </w:t>
      </w:r>
    </w:p>
    <w:p>
      <w:pPr>
        <w:pStyle w:val="Heading2"/>
        <w:keepNext w:val="false"/>
        <w:keepLines w:val="false"/>
        <w:widowControl/>
        <w:suppressAutoHyphens w:val="true"/>
        <w:rPr/>
      </w:pPr>
      <w:r>
        <w:rPr/>
        <w:t>I.</w:t>
        <w:tab/>
        <w:t xml:space="preserve">Cost Basis and Rate Design </w:t>
      </w:r>
    </w:p>
    <w:p>
      <w:pPr>
        <w:pStyle w:val="Heading3"/>
        <w:keepNext w:val="false"/>
        <w:keepLines w:val="false"/>
        <w:widowControl/>
        <w:suppressAutoHyphens w:val="true"/>
        <w:rPr/>
      </w:pPr>
      <w:r>
        <w:rPr/>
        <w:t>1.</w:t>
        <w:tab/>
        <w:t>The Backbone Component of New Transmission Path Rates</w:t>
      </w:r>
    </w:p>
    <w:p>
      <w:pPr>
        <w:pStyle w:val="Heading4"/>
        <w:keepNext w:val="false"/>
        <w:keepLines w:val="false"/>
        <w:widowControl/>
        <w:suppressAutoHyphens w:val="true"/>
        <w:rPr/>
      </w:pPr>
      <w:r>
        <w:rPr/>
        <w:t>a.</w:t>
        <w:tab/>
        <w:t xml:space="preserve">Except for certain services and contracts described in Section II.F, all on-system rates include a backbone transmission component that varies by path, and a common backbone component.  The common backbone component includes the costs of backbone facilities used by all on-system paths, and gathering mains.  </w:t>
      </w:r>
    </w:p>
    <w:p>
      <w:pPr>
        <w:pStyle w:val="Heading4"/>
        <w:keepNext w:val="false"/>
        <w:keepLines w:val="false"/>
        <w:widowControl/>
        <w:suppressAutoHyphens w:val="true"/>
        <w:rPr/>
      </w:pPr>
      <w:r>
        <w:rPr/>
        <w:t>b.</w:t>
        <w:tab/>
        <w:t>The incremental Line 401 costs used in developing the Malin to on- and off-system rates are based on the Pipeline Expansion assumptions shown in Section II.I.3.  Off-system  rates do not include any common backbone component.</w:t>
      </w:r>
    </w:p>
    <w:p>
      <w:pPr>
        <w:pStyle w:val="Heading4"/>
        <w:keepNext w:val="false"/>
        <w:keepLines w:val="false"/>
        <w:widowControl/>
        <w:suppressAutoHyphens w:val="true"/>
        <w:rPr/>
      </w:pPr>
      <w:r>
        <w:rPr/>
        <w:t>c.</w:t>
        <w:tab/>
        <w:t xml:space="preserve">Malin to on-system rates for the core (including core wholesale) are based on a prorated portion of vintaged Line 400 and Line 2, and the common backbone component. </w:t>
      </w:r>
    </w:p>
    <w:p>
      <w:pPr>
        <w:pStyle w:val="Heading4"/>
        <w:keepNext w:val="false"/>
        <w:keepLines w:val="false"/>
        <w:widowControl/>
        <w:suppressAutoHyphens w:val="true"/>
        <w:rPr/>
      </w:pPr>
      <w:r>
        <w:rPr/>
        <w:t>d.</w:t>
        <w:tab/>
        <w:t>Malin to on-system rates for all customers except retail core and core wholesale include the cost of the portions of Line 400 and Line 2 not reserved for the core, the common backbone component, and a phased-in portion of Line 401 costs as described in Section II.I.3.</w:t>
      </w:r>
    </w:p>
    <w:p>
      <w:pPr>
        <w:pStyle w:val="Heading4"/>
        <w:keepNext w:val="false"/>
        <w:keepLines w:val="false"/>
        <w:widowControl/>
        <w:suppressAutoHyphens w:val="true"/>
        <w:rPr/>
      </w:pPr>
      <w:r>
        <w:rPr/>
        <w:t>e.</w:t>
        <w:tab/>
        <w:t>Both the Topock to on-system and the Topock to off-system rates include the cost of Line 300 and the common backbone component.  Capital costs of $42 million for NOx-related retrofits needed to meet NOx emission standards are included in the Line 300 revenue requirement.  To the extent PG&amp;E’s expenditures exceed the $42 million, PG&amp;E will be at risk for recovery of these expenditures during the Gas Accord period, but does not waive the right to seek recovery after that.</w:t>
      </w:r>
    </w:p>
    <w:p>
      <w:pPr>
        <w:pStyle w:val="Heading4"/>
        <w:keepNext w:val="false"/>
        <w:keepLines w:val="false"/>
        <w:widowControl/>
        <w:suppressAutoHyphens w:val="true"/>
        <w:rPr/>
      </w:pPr>
      <w:r>
        <w:rPr/>
        <w:t>f.</w:t>
        <w:tab/>
        <w:t>California production to on-system rates include 40 percent of the average backbone transmission costs and the common backbone component.  California production to off-system rates assume Line 401 will be used, and the rate is equal to the Line 401 to off-system rate.</w:t>
      </w:r>
    </w:p>
    <w:p>
      <w:pPr>
        <w:pStyle w:val="Heading4"/>
        <w:keepNext w:val="false"/>
        <w:keepLines w:val="false"/>
        <w:widowControl/>
        <w:suppressAutoHyphens w:val="true"/>
        <w:rPr/>
      </w:pPr>
      <w:r>
        <w:rPr/>
        <w:t>g.</w:t>
        <w:tab/>
        <w:t xml:space="preserve">The on-system and off-system rates are guaranteed for the Accord period, subject to change pursuant only to the z-factor  provision of Section II.I.7.  </w:t>
      </w:r>
    </w:p>
    <w:p>
      <w:pPr>
        <w:pStyle w:val="Heading3"/>
        <w:keepNext w:val="false"/>
        <w:keepLines w:val="false"/>
        <w:widowControl/>
        <w:suppressAutoHyphens w:val="true"/>
        <w:rPr/>
      </w:pPr>
      <w:r>
        <w:rPr/>
        <w:t>2.</w:t>
        <w:tab/>
        <w:t>The Storage Costs in the Unbundled Storage Program</w:t>
      </w:r>
    </w:p>
    <w:p>
      <w:pPr>
        <w:pStyle w:val="Heading4"/>
        <w:widowControl/>
        <w:rPr/>
      </w:pPr>
      <w:r>
        <w:rPr/>
        <w:t>a.</w:t>
        <w:tab/>
        <w:t>The storage costs allocated to the unbundled storage program represent              12.5 percent of the inventory, injection, and withdrawal storage costs remaining after the allocation for load balancing requirements.</w:t>
      </w:r>
    </w:p>
    <w:p>
      <w:pPr>
        <w:pStyle w:val="Heading4"/>
        <w:widowControl/>
        <w:rPr/>
      </w:pPr>
      <w:r>
        <w:rPr/>
        <w:t>b.</w:t>
        <w:tab/>
        <w:t>The maximum rates for Negotiated Firm Storage and Negotiated As-available Storage are based on a rate design assuming an average injection period of 30 days and an average withdrawal period of seven days.  The rates assume full collection of the total unbundled storage program revenue requirement in each individual subfunction.</w:t>
      </w:r>
    </w:p>
    <w:p>
      <w:pPr>
        <w:pStyle w:val="Heading4"/>
        <w:widowControl/>
        <w:rPr/>
      </w:pPr>
      <w:r>
        <w:rPr/>
        <w:t>c.</w:t>
        <w:tab/>
        <w:t xml:space="preserve">The minimum rates for Negotiated Firm Storage and Negotiated As-available Storage are based on the marginal price floor to provide the service. </w:t>
      </w:r>
    </w:p>
    <w:p>
      <w:pPr>
        <w:pStyle w:val="BodyText"/>
        <w:rPr/>
      </w:pPr>
      <w:r>
        <w:rPr/>
      </w:r>
    </w:p>
    <w:p>
      <w:pPr>
        <w:pStyle w:val="Heading3"/>
        <w:keepNext w:val="false"/>
        <w:keepLines w:val="false"/>
        <w:widowControl/>
        <w:suppressAutoHyphens w:val="true"/>
        <w:rPr/>
      </w:pPr>
      <w:r>
        <w:rPr/>
        <w:t>3.</w:t>
        <w:tab/>
        <w:t>Revenue Requirement Assumptions</w:t>
      </w:r>
    </w:p>
    <w:p>
      <w:pPr>
        <w:pStyle w:val="Heading4"/>
        <w:keepNext w:val="false"/>
        <w:keepLines w:val="false"/>
        <w:widowControl/>
        <w:suppressAutoHyphens w:val="true"/>
        <w:rPr/>
      </w:pPr>
      <w:r>
        <w:rPr/>
        <w:t>a.</w:t>
        <w:tab/>
        <w:t xml:space="preserve">Gas Department (excluding Pipeline Expansion) </w:t>
      </w:r>
    </w:p>
    <w:p>
      <w:pPr>
        <w:pStyle w:val="Heading5"/>
        <w:keepNext w:val="false"/>
        <w:keepLines w:val="false"/>
        <w:widowControl/>
        <w:suppressAutoHyphens w:val="true"/>
        <w:rPr/>
      </w:pPr>
      <w:r>
        <w:rPr/>
        <w:t>i.</w:t>
        <w:tab/>
        <w:t>Initial base revenue requirements for calculating 1997 rates match PG&amp;E’s 1996 GRC.</w:t>
      </w:r>
    </w:p>
    <w:p>
      <w:pPr>
        <w:pStyle w:val="Heading5"/>
        <w:keepNext w:val="false"/>
        <w:keepLines w:val="false"/>
        <w:widowControl/>
        <w:suppressAutoHyphens w:val="true"/>
        <w:rPr/>
      </w:pPr>
      <w:r>
        <w:rPr/>
        <w:t>ii.</w:t>
        <w:tab/>
        <w:t xml:space="preserve">Cost of capital and capital structure are based on the 1996 Cost of Capital proceeding’s authorized cost of capital for the gas department. </w:t>
      </w:r>
    </w:p>
    <w:p>
      <w:pPr>
        <w:pStyle w:val="Heading5"/>
        <w:keepNext w:val="false"/>
        <w:keepLines w:val="false"/>
        <w:widowControl/>
        <w:suppressAutoHyphens w:val="true"/>
        <w:rPr/>
      </w:pPr>
      <w:r>
        <w:rPr/>
        <w:t>iii.</w:t>
        <w:tab/>
        <w:t>Gas department common costs are allocated to backbone transmission, local transmission and distribution based on plant and labor.</w:t>
      </w:r>
    </w:p>
    <w:p>
      <w:pPr>
        <w:pStyle w:val="Heading4"/>
        <w:keepNext w:val="false"/>
        <w:keepLines w:val="false"/>
        <w:widowControl/>
        <w:suppressAutoHyphens w:val="true"/>
        <w:rPr/>
      </w:pPr>
      <w:r>
        <w:rPr/>
        <w:t>b.</w:t>
        <w:tab/>
        <w:t>Development of the Line 401 Revenue Requirement</w:t>
      </w:r>
    </w:p>
    <w:p>
      <w:pPr>
        <w:pStyle w:val="Heading5"/>
        <w:keepNext w:val="false"/>
        <w:keepLines w:val="false"/>
        <w:widowControl/>
        <w:suppressAutoHyphens w:val="true"/>
        <w:rPr/>
      </w:pPr>
      <w:r>
        <w:rPr/>
        <w:t>i.</w:t>
        <w:tab/>
        <w:t xml:space="preserve">Base revenue requirements are calculated using the proposed litigation resolution figure of $736 million of capital costs discussed in Section V. Operating expenses and the methods used to allocate costs and calculate taxes and the revenue requirement match PG&amp;E’s current position in the Pipeline Expansion Project Reasonableness (PEPR) Case. </w:t>
      </w:r>
    </w:p>
    <w:p>
      <w:pPr>
        <w:pStyle w:val="Heading5"/>
        <w:keepNext w:val="false"/>
        <w:keepLines w:val="false"/>
        <w:widowControl/>
        <w:suppressAutoHyphens w:val="true"/>
        <w:rPr/>
      </w:pPr>
      <w:r>
        <w:rPr/>
        <w:t>ii.</w:t>
        <w:tab/>
        <w:t xml:space="preserve">Cost of capital and capital structure matches PG&amp;E’s gas department cost of capital as authorized in the 1996 Cost of Capital Decision 95-11-062, with no premium on the return on equity. </w:t>
      </w:r>
    </w:p>
    <w:p>
      <w:pPr>
        <w:pStyle w:val="Heading5"/>
        <w:keepNext w:val="false"/>
        <w:keepLines w:val="false"/>
        <w:widowControl/>
        <w:suppressAutoHyphens w:val="true"/>
        <w:rPr/>
      </w:pPr>
      <w:r>
        <w:rPr/>
        <w:t>iii.</w:t>
        <w:tab/>
        <w:t>No common costs, except those included in the PEPR Case, are included.  The cost allocation methods match those used in the PEPR Case.  The allocation of original facilities to the Expansion increases to the amount proposed by PG&amp;E in the PEPR Case.</w:t>
      </w:r>
    </w:p>
    <w:p>
      <w:pPr>
        <w:pStyle w:val="Heading4"/>
        <w:keepNext w:val="false"/>
        <w:keepLines w:val="false"/>
        <w:widowControl/>
        <w:suppressAutoHyphens w:val="true"/>
        <w:rPr/>
      </w:pPr>
      <w:r>
        <w:rPr/>
        <w:t>c.</w:t>
        <w:tab/>
        <w:t>Line 401 Cost Phase-in to On-system Rates</w:t>
      </w:r>
    </w:p>
    <w:p>
      <w:pPr>
        <w:pStyle w:val="Normal"/>
        <w:widowControl/>
        <w:suppressAutoHyphens w:val="true"/>
        <w:ind w:start="1800" w:end="0"/>
        <w:rPr/>
      </w:pPr>
      <w:r>
        <w:rPr/>
      </w:r>
    </w:p>
    <w:p>
      <w:pPr>
        <w:pStyle w:val="Normal"/>
        <w:widowControl/>
        <w:suppressAutoHyphens w:val="true"/>
        <w:ind w:start="1440" w:end="0"/>
        <w:rPr/>
      </w:pPr>
      <w:r>
        <w:rPr/>
        <w:t>Each year a portion of the Line 401 revenue requirement will be included in the Malin to on-system rate.  The portion is calculated using the firm Expansion capacity of 813 MMcf/d (825 Mdth/d).  The Line 401 revenue requirement phased-in each year will be based on depreciated plant.  The following table summarizes the amount of capacity used to determine the phased-in costs:</w:t>
      </w:r>
    </w:p>
    <w:tbl>
      <w:tblPr>
        <w:tblW w:w="7560" w:type="dxa"/>
        <w:jc w:val="start"/>
        <w:tblInd w:w="1548" w:type="dxa"/>
        <w:tblLayout w:type="fixed"/>
        <w:tblCellMar>
          <w:top w:w="0" w:type="dxa"/>
          <w:start w:w="108" w:type="dxa"/>
          <w:bottom w:w="0" w:type="dxa"/>
          <w:end w:w="108" w:type="dxa"/>
        </w:tblCellMar>
      </w:tblPr>
      <w:tblGrid>
        <w:gridCol w:w="1599"/>
        <w:gridCol w:w="1011"/>
        <w:gridCol w:w="990"/>
        <w:gridCol w:w="900"/>
        <w:gridCol w:w="990"/>
        <w:gridCol w:w="990"/>
        <w:gridCol w:w="1080"/>
      </w:tblGrid>
      <w:tr>
        <w:trPr/>
        <w:tc>
          <w:tcPr>
            <w:tcW w:w="1599" w:type="dxa"/>
            <w:tcBorders/>
          </w:tcPr>
          <w:p>
            <w:pPr>
              <w:pStyle w:val="Normal"/>
              <w:widowControl/>
              <w:suppressAutoHyphens w:val="true"/>
              <w:snapToGrid w:val="false"/>
              <w:spacing w:lineRule="exact" w:line="240"/>
              <w:rPr/>
            </w:pPr>
            <w:r>
              <w:rPr/>
            </w:r>
          </w:p>
          <w:p>
            <w:pPr>
              <w:pStyle w:val="Normal"/>
              <w:widowControl/>
              <w:suppressAutoHyphens w:val="true"/>
              <w:spacing w:lineRule="exact" w:line="240"/>
              <w:rPr/>
            </w:pPr>
            <w:r>
              <w:rPr/>
              <w:t>Capacity</w:t>
            </w:r>
          </w:p>
          <w:p>
            <w:pPr>
              <w:pStyle w:val="Normal"/>
              <w:widowControl/>
              <w:suppressAutoHyphens w:val="true"/>
              <w:spacing w:lineRule="exact" w:line="240"/>
              <w:rPr/>
            </w:pPr>
            <w:r>
              <w:rPr/>
            </w:r>
          </w:p>
        </w:tc>
        <w:tc>
          <w:tcPr>
            <w:tcW w:w="1011" w:type="dxa"/>
            <w:tcBorders/>
          </w:tcPr>
          <w:p>
            <w:pPr>
              <w:pStyle w:val="Normal"/>
              <w:widowControl/>
              <w:suppressAutoHyphens w:val="true"/>
              <w:snapToGrid w:val="false"/>
              <w:spacing w:lineRule="exact" w:line="240"/>
              <w:jc w:val="center"/>
              <w:rPr>
                <w:u w:val="single"/>
              </w:rPr>
            </w:pPr>
            <w:r>
              <w:rPr>
                <w:u w:val="single"/>
              </w:rPr>
            </w:r>
          </w:p>
          <w:p>
            <w:pPr>
              <w:pStyle w:val="Normal"/>
              <w:widowControl/>
              <w:suppressAutoHyphens w:val="true"/>
              <w:spacing w:lineRule="exact" w:line="240"/>
              <w:jc w:val="center"/>
              <w:rPr>
                <w:u w:val="single"/>
              </w:rPr>
            </w:pPr>
            <w:r>
              <w:rPr>
                <w:u w:val="single"/>
              </w:rPr>
              <w:t>1997</w:t>
            </w:r>
          </w:p>
        </w:tc>
        <w:tc>
          <w:tcPr>
            <w:tcW w:w="990" w:type="dxa"/>
            <w:tcBorders/>
          </w:tcPr>
          <w:p>
            <w:pPr>
              <w:pStyle w:val="Normal"/>
              <w:widowControl/>
              <w:suppressAutoHyphens w:val="true"/>
              <w:snapToGrid w:val="false"/>
              <w:spacing w:lineRule="exact" w:line="240"/>
              <w:jc w:val="center"/>
              <w:rPr>
                <w:u w:val="single"/>
              </w:rPr>
            </w:pPr>
            <w:r>
              <w:rPr>
                <w:u w:val="single"/>
              </w:rPr>
            </w:r>
          </w:p>
          <w:p>
            <w:pPr>
              <w:pStyle w:val="Normal"/>
              <w:widowControl/>
              <w:suppressAutoHyphens w:val="true"/>
              <w:spacing w:lineRule="exact" w:line="240"/>
              <w:jc w:val="center"/>
              <w:rPr>
                <w:u w:val="single"/>
              </w:rPr>
            </w:pPr>
            <w:r>
              <w:rPr>
                <w:u w:val="single"/>
              </w:rPr>
              <w:t>1998</w:t>
            </w:r>
          </w:p>
        </w:tc>
        <w:tc>
          <w:tcPr>
            <w:tcW w:w="900" w:type="dxa"/>
            <w:tcBorders/>
          </w:tcPr>
          <w:p>
            <w:pPr>
              <w:pStyle w:val="Normal"/>
              <w:widowControl/>
              <w:suppressAutoHyphens w:val="true"/>
              <w:snapToGrid w:val="false"/>
              <w:spacing w:lineRule="exact" w:line="240"/>
              <w:jc w:val="center"/>
              <w:rPr>
                <w:u w:val="single"/>
              </w:rPr>
            </w:pPr>
            <w:r>
              <w:rPr>
                <w:u w:val="single"/>
              </w:rPr>
            </w:r>
          </w:p>
          <w:p>
            <w:pPr>
              <w:pStyle w:val="Normal"/>
              <w:widowControl/>
              <w:suppressAutoHyphens w:val="true"/>
              <w:spacing w:lineRule="exact" w:line="240"/>
              <w:jc w:val="center"/>
              <w:rPr>
                <w:u w:val="single"/>
              </w:rPr>
            </w:pPr>
            <w:r>
              <w:rPr>
                <w:u w:val="single"/>
              </w:rPr>
              <w:t>1999</w:t>
            </w:r>
          </w:p>
        </w:tc>
        <w:tc>
          <w:tcPr>
            <w:tcW w:w="990" w:type="dxa"/>
            <w:tcBorders/>
          </w:tcPr>
          <w:p>
            <w:pPr>
              <w:pStyle w:val="Normal"/>
              <w:widowControl/>
              <w:suppressAutoHyphens w:val="true"/>
              <w:snapToGrid w:val="false"/>
              <w:spacing w:lineRule="exact" w:line="240"/>
              <w:jc w:val="center"/>
              <w:rPr>
                <w:u w:val="single"/>
              </w:rPr>
            </w:pPr>
            <w:r>
              <w:rPr>
                <w:u w:val="single"/>
              </w:rPr>
            </w:r>
          </w:p>
          <w:p>
            <w:pPr>
              <w:pStyle w:val="Normal"/>
              <w:widowControl/>
              <w:suppressAutoHyphens w:val="true"/>
              <w:spacing w:lineRule="exact" w:line="240"/>
              <w:jc w:val="center"/>
              <w:rPr>
                <w:u w:val="single"/>
              </w:rPr>
            </w:pPr>
            <w:r>
              <w:rPr>
                <w:u w:val="single"/>
              </w:rPr>
              <w:t>2000</w:t>
            </w:r>
          </w:p>
        </w:tc>
        <w:tc>
          <w:tcPr>
            <w:tcW w:w="990" w:type="dxa"/>
            <w:tcBorders/>
          </w:tcPr>
          <w:p>
            <w:pPr>
              <w:pStyle w:val="Normal"/>
              <w:widowControl/>
              <w:suppressAutoHyphens w:val="true"/>
              <w:snapToGrid w:val="false"/>
              <w:spacing w:lineRule="exact" w:line="240"/>
              <w:jc w:val="center"/>
              <w:rPr>
                <w:u w:val="single"/>
              </w:rPr>
            </w:pPr>
            <w:r>
              <w:rPr>
                <w:u w:val="single"/>
              </w:rPr>
            </w:r>
          </w:p>
          <w:p>
            <w:pPr>
              <w:pStyle w:val="Normal"/>
              <w:widowControl/>
              <w:suppressAutoHyphens w:val="true"/>
              <w:spacing w:lineRule="exact" w:line="240"/>
              <w:jc w:val="center"/>
              <w:rPr>
                <w:u w:val="single"/>
              </w:rPr>
            </w:pPr>
            <w:r>
              <w:rPr>
                <w:u w:val="single"/>
              </w:rPr>
              <w:t>2001</w:t>
            </w:r>
          </w:p>
        </w:tc>
        <w:tc>
          <w:tcPr>
            <w:tcW w:w="1080" w:type="dxa"/>
            <w:tcBorders/>
          </w:tcPr>
          <w:p>
            <w:pPr>
              <w:pStyle w:val="Normal"/>
              <w:widowControl/>
              <w:suppressAutoHyphens w:val="true"/>
              <w:snapToGrid w:val="false"/>
              <w:spacing w:lineRule="exact" w:line="240"/>
              <w:jc w:val="center"/>
              <w:rPr>
                <w:u w:val="single"/>
              </w:rPr>
            </w:pPr>
            <w:r>
              <w:rPr>
                <w:u w:val="single"/>
              </w:rPr>
            </w:r>
          </w:p>
          <w:p>
            <w:pPr>
              <w:pStyle w:val="Normal"/>
              <w:widowControl/>
              <w:suppressAutoHyphens w:val="true"/>
              <w:spacing w:lineRule="exact" w:line="240"/>
              <w:jc w:val="center"/>
              <w:rPr>
                <w:u w:val="single"/>
              </w:rPr>
            </w:pPr>
            <w:r>
              <w:rPr>
                <w:u w:val="single"/>
              </w:rPr>
              <w:t>2002</w:t>
            </w:r>
          </w:p>
        </w:tc>
      </w:tr>
      <w:tr>
        <w:trPr/>
        <w:tc>
          <w:tcPr>
            <w:tcW w:w="1599" w:type="dxa"/>
            <w:tcBorders/>
          </w:tcPr>
          <w:p>
            <w:pPr>
              <w:pStyle w:val="Normal"/>
              <w:widowControl/>
              <w:suppressAutoHyphens w:val="true"/>
              <w:spacing w:lineRule="exact" w:line="240"/>
              <w:rPr/>
            </w:pPr>
            <w:r>
              <w:rPr/>
              <w:t>Incremental</w:t>
            </w:r>
          </w:p>
          <w:p>
            <w:pPr>
              <w:pStyle w:val="Normal"/>
              <w:widowControl/>
              <w:suppressAutoHyphens w:val="true"/>
              <w:spacing w:lineRule="exact" w:line="240"/>
              <w:rPr/>
            </w:pPr>
            <w:r>
              <w:rPr/>
              <w:t>(MMcf/d)</w:t>
            </w:r>
          </w:p>
        </w:tc>
        <w:tc>
          <w:tcPr>
            <w:tcW w:w="1011" w:type="dxa"/>
            <w:tcBorders/>
          </w:tcPr>
          <w:p>
            <w:pPr>
              <w:pStyle w:val="Normal"/>
              <w:widowControl/>
              <w:suppressAutoHyphens w:val="true"/>
              <w:spacing w:lineRule="exact" w:line="240"/>
              <w:jc w:val="center"/>
              <w:rPr/>
            </w:pPr>
            <w:r>
              <w:rPr/>
              <w:t>200</w:t>
            </w:r>
          </w:p>
        </w:tc>
        <w:tc>
          <w:tcPr>
            <w:tcW w:w="990" w:type="dxa"/>
            <w:tcBorders/>
          </w:tcPr>
          <w:p>
            <w:pPr>
              <w:pStyle w:val="Normal"/>
              <w:widowControl/>
              <w:suppressAutoHyphens w:val="true"/>
              <w:spacing w:lineRule="exact" w:line="240"/>
              <w:jc w:val="center"/>
              <w:rPr/>
            </w:pPr>
            <w:r>
              <w:rPr/>
              <w:t xml:space="preserve">  </w:t>
            </w:r>
            <w:r>
              <w:rPr/>
              <w:t>50</w:t>
            </w:r>
          </w:p>
        </w:tc>
        <w:tc>
          <w:tcPr>
            <w:tcW w:w="900" w:type="dxa"/>
            <w:tcBorders/>
          </w:tcPr>
          <w:p>
            <w:pPr>
              <w:pStyle w:val="Normal"/>
              <w:widowControl/>
              <w:suppressAutoHyphens w:val="true"/>
              <w:spacing w:lineRule="exact" w:line="240"/>
              <w:jc w:val="center"/>
              <w:rPr/>
            </w:pPr>
            <w:r>
              <w:rPr/>
              <w:t xml:space="preserve">  </w:t>
            </w:r>
            <w:r>
              <w:rPr/>
              <w:t>50</w:t>
            </w:r>
          </w:p>
        </w:tc>
        <w:tc>
          <w:tcPr>
            <w:tcW w:w="990" w:type="dxa"/>
            <w:tcBorders/>
          </w:tcPr>
          <w:p>
            <w:pPr>
              <w:pStyle w:val="Normal"/>
              <w:widowControl/>
              <w:suppressAutoHyphens w:val="true"/>
              <w:spacing w:lineRule="exact" w:line="240"/>
              <w:jc w:val="center"/>
              <w:rPr/>
            </w:pPr>
            <w:r>
              <w:rPr/>
              <w:t xml:space="preserve">  </w:t>
            </w:r>
            <w:r>
              <w:rPr/>
              <w:t>25</w:t>
            </w:r>
          </w:p>
        </w:tc>
        <w:tc>
          <w:tcPr>
            <w:tcW w:w="990" w:type="dxa"/>
            <w:tcBorders/>
          </w:tcPr>
          <w:p>
            <w:pPr>
              <w:pStyle w:val="Normal"/>
              <w:widowControl/>
              <w:suppressAutoHyphens w:val="true"/>
              <w:spacing w:lineRule="exact" w:line="240"/>
              <w:jc w:val="center"/>
              <w:rPr/>
            </w:pPr>
            <w:r>
              <w:rPr/>
              <w:t xml:space="preserve">  </w:t>
            </w:r>
            <w:r>
              <w:rPr/>
              <w:t>25</w:t>
            </w:r>
          </w:p>
        </w:tc>
        <w:tc>
          <w:tcPr>
            <w:tcW w:w="1080" w:type="dxa"/>
            <w:tcBorders/>
          </w:tcPr>
          <w:p>
            <w:pPr>
              <w:pStyle w:val="Normal"/>
              <w:widowControl/>
              <w:suppressAutoHyphens w:val="true"/>
              <w:spacing w:lineRule="exact" w:line="240"/>
              <w:jc w:val="center"/>
              <w:rPr/>
            </w:pPr>
            <w:r>
              <w:rPr/>
              <w:t xml:space="preserve">  </w:t>
            </w:r>
            <w:r>
              <w:rPr/>
              <w:t>25</w:t>
            </w:r>
          </w:p>
        </w:tc>
      </w:tr>
      <w:tr>
        <w:trPr/>
        <w:tc>
          <w:tcPr>
            <w:tcW w:w="1599" w:type="dxa"/>
            <w:tcBorders/>
          </w:tcPr>
          <w:p>
            <w:pPr>
              <w:pStyle w:val="Normal"/>
              <w:widowControl/>
              <w:suppressAutoHyphens w:val="true"/>
              <w:spacing w:lineRule="exact" w:line="240"/>
              <w:rPr/>
            </w:pPr>
            <w:r>
              <w:rPr/>
              <w:t>Cumulative</w:t>
            </w:r>
          </w:p>
          <w:p>
            <w:pPr>
              <w:pStyle w:val="Normal"/>
              <w:widowControl/>
              <w:suppressAutoHyphens w:val="true"/>
              <w:spacing w:lineRule="exact" w:line="240"/>
              <w:rPr/>
            </w:pPr>
            <w:r>
              <w:rPr/>
              <w:t>(MMcf/d)</w:t>
            </w:r>
          </w:p>
        </w:tc>
        <w:tc>
          <w:tcPr>
            <w:tcW w:w="1011" w:type="dxa"/>
            <w:tcBorders/>
          </w:tcPr>
          <w:p>
            <w:pPr>
              <w:pStyle w:val="Normal"/>
              <w:widowControl/>
              <w:suppressAutoHyphens w:val="true"/>
              <w:spacing w:lineRule="exact" w:line="240"/>
              <w:jc w:val="center"/>
              <w:rPr/>
            </w:pPr>
            <w:r>
              <w:rPr/>
              <w:t>200</w:t>
            </w:r>
          </w:p>
        </w:tc>
        <w:tc>
          <w:tcPr>
            <w:tcW w:w="990" w:type="dxa"/>
            <w:tcBorders/>
          </w:tcPr>
          <w:p>
            <w:pPr>
              <w:pStyle w:val="Normal"/>
              <w:widowControl/>
              <w:suppressAutoHyphens w:val="true"/>
              <w:spacing w:lineRule="exact" w:line="240"/>
              <w:jc w:val="center"/>
              <w:rPr/>
            </w:pPr>
            <w:r>
              <w:rPr/>
              <w:t>250</w:t>
            </w:r>
          </w:p>
        </w:tc>
        <w:tc>
          <w:tcPr>
            <w:tcW w:w="900" w:type="dxa"/>
            <w:tcBorders/>
          </w:tcPr>
          <w:p>
            <w:pPr>
              <w:pStyle w:val="Normal"/>
              <w:widowControl/>
              <w:suppressAutoHyphens w:val="true"/>
              <w:spacing w:lineRule="exact" w:line="240"/>
              <w:jc w:val="center"/>
              <w:rPr/>
            </w:pPr>
            <w:r>
              <w:rPr/>
              <w:t>300</w:t>
            </w:r>
          </w:p>
        </w:tc>
        <w:tc>
          <w:tcPr>
            <w:tcW w:w="990" w:type="dxa"/>
            <w:tcBorders/>
          </w:tcPr>
          <w:p>
            <w:pPr>
              <w:pStyle w:val="Normal"/>
              <w:widowControl/>
              <w:suppressAutoHyphens w:val="true"/>
              <w:spacing w:lineRule="exact" w:line="240"/>
              <w:jc w:val="center"/>
              <w:rPr/>
            </w:pPr>
            <w:r>
              <w:rPr/>
              <w:t>325</w:t>
            </w:r>
          </w:p>
        </w:tc>
        <w:tc>
          <w:tcPr>
            <w:tcW w:w="990" w:type="dxa"/>
            <w:tcBorders/>
          </w:tcPr>
          <w:p>
            <w:pPr>
              <w:pStyle w:val="Normal"/>
              <w:widowControl/>
              <w:suppressAutoHyphens w:val="true"/>
              <w:spacing w:lineRule="exact" w:line="240"/>
              <w:jc w:val="center"/>
              <w:rPr/>
            </w:pPr>
            <w:r>
              <w:rPr/>
              <w:t>350</w:t>
            </w:r>
          </w:p>
        </w:tc>
        <w:tc>
          <w:tcPr>
            <w:tcW w:w="1080" w:type="dxa"/>
            <w:tcBorders/>
          </w:tcPr>
          <w:p>
            <w:pPr>
              <w:pStyle w:val="Normal"/>
              <w:widowControl/>
              <w:suppressAutoHyphens w:val="true"/>
              <w:spacing w:lineRule="exact" w:line="240"/>
              <w:jc w:val="center"/>
              <w:rPr/>
            </w:pPr>
            <w:r>
              <w:rPr/>
              <w:t>375</w:t>
            </w:r>
          </w:p>
        </w:tc>
      </w:tr>
      <w:tr>
        <w:trPr/>
        <w:tc>
          <w:tcPr>
            <w:tcW w:w="1599" w:type="dxa"/>
            <w:tcBorders/>
          </w:tcPr>
          <w:p>
            <w:pPr>
              <w:pStyle w:val="Normal"/>
              <w:widowControl/>
              <w:suppressAutoHyphens w:val="true"/>
              <w:spacing w:lineRule="exact" w:line="240"/>
              <w:rPr/>
            </w:pPr>
            <w:r>
              <w:rPr/>
              <w:t>Cumulative</w:t>
            </w:r>
          </w:p>
          <w:p>
            <w:pPr>
              <w:pStyle w:val="Normal"/>
              <w:widowControl/>
              <w:suppressAutoHyphens w:val="true"/>
              <w:spacing w:lineRule="exact" w:line="240"/>
              <w:rPr/>
            </w:pPr>
            <w:r>
              <w:rPr/>
              <w:t>(Mdth/d)</w:t>
            </w:r>
          </w:p>
        </w:tc>
        <w:tc>
          <w:tcPr>
            <w:tcW w:w="1011" w:type="dxa"/>
            <w:tcBorders/>
          </w:tcPr>
          <w:p>
            <w:pPr>
              <w:pStyle w:val="Normal"/>
              <w:widowControl/>
              <w:suppressAutoHyphens w:val="true"/>
              <w:spacing w:lineRule="exact" w:line="240"/>
              <w:jc w:val="center"/>
              <w:rPr/>
            </w:pPr>
            <w:r>
              <w:rPr/>
              <w:t>208</w:t>
            </w:r>
          </w:p>
        </w:tc>
        <w:tc>
          <w:tcPr>
            <w:tcW w:w="990" w:type="dxa"/>
            <w:tcBorders/>
          </w:tcPr>
          <w:p>
            <w:pPr>
              <w:pStyle w:val="Normal"/>
              <w:widowControl/>
              <w:suppressAutoHyphens w:val="true"/>
              <w:spacing w:lineRule="exact" w:line="240"/>
              <w:jc w:val="center"/>
              <w:rPr/>
            </w:pPr>
            <w:r>
              <w:rPr/>
              <w:t>254</w:t>
            </w:r>
          </w:p>
        </w:tc>
        <w:tc>
          <w:tcPr>
            <w:tcW w:w="900" w:type="dxa"/>
            <w:tcBorders/>
          </w:tcPr>
          <w:p>
            <w:pPr>
              <w:pStyle w:val="Normal"/>
              <w:widowControl/>
              <w:suppressAutoHyphens w:val="true"/>
              <w:spacing w:lineRule="exact" w:line="240"/>
              <w:jc w:val="center"/>
              <w:rPr/>
            </w:pPr>
            <w:r>
              <w:rPr/>
              <w:t>305</w:t>
            </w:r>
          </w:p>
        </w:tc>
        <w:tc>
          <w:tcPr>
            <w:tcW w:w="990" w:type="dxa"/>
            <w:tcBorders/>
          </w:tcPr>
          <w:p>
            <w:pPr>
              <w:pStyle w:val="Normal"/>
              <w:widowControl/>
              <w:suppressAutoHyphens w:val="true"/>
              <w:spacing w:lineRule="exact" w:line="240"/>
              <w:jc w:val="center"/>
              <w:rPr/>
            </w:pPr>
            <w:r>
              <w:rPr/>
              <w:t>330</w:t>
            </w:r>
          </w:p>
        </w:tc>
        <w:tc>
          <w:tcPr>
            <w:tcW w:w="990" w:type="dxa"/>
            <w:tcBorders/>
          </w:tcPr>
          <w:p>
            <w:pPr>
              <w:pStyle w:val="Normal"/>
              <w:widowControl/>
              <w:suppressAutoHyphens w:val="true"/>
              <w:spacing w:lineRule="exact" w:line="240"/>
              <w:jc w:val="center"/>
              <w:rPr/>
            </w:pPr>
            <w:r>
              <w:rPr/>
              <w:t>355</w:t>
            </w:r>
          </w:p>
        </w:tc>
        <w:tc>
          <w:tcPr>
            <w:tcW w:w="1080" w:type="dxa"/>
            <w:tcBorders/>
          </w:tcPr>
          <w:p>
            <w:pPr>
              <w:pStyle w:val="Normal"/>
              <w:widowControl/>
              <w:suppressAutoHyphens w:val="true"/>
              <w:spacing w:lineRule="exact" w:line="240"/>
              <w:jc w:val="center"/>
              <w:rPr/>
            </w:pPr>
            <w:r>
              <w:rPr/>
              <w:t>381</w:t>
            </w:r>
          </w:p>
        </w:tc>
      </w:tr>
    </w:tbl>
    <w:p>
      <w:pPr>
        <w:pStyle w:val="Heading3"/>
        <w:keepNext w:val="false"/>
        <w:keepLines w:val="false"/>
        <w:widowControl/>
        <w:suppressAutoHyphens w:val="true"/>
        <w:rPr/>
      </w:pPr>
      <w:r>
        <w:rPr/>
        <w:t>4.</w:t>
        <w:tab/>
        <w:t>Load Factor and Rate Cap Assumptions</w:t>
      </w:r>
    </w:p>
    <w:p>
      <w:pPr>
        <w:pStyle w:val="Heading4"/>
        <w:keepNext w:val="false"/>
        <w:keepLines w:val="false"/>
        <w:widowControl/>
        <w:suppressAutoHyphens w:val="true"/>
        <w:rPr/>
      </w:pPr>
      <w:r>
        <w:rPr/>
        <w:t>a.</w:t>
        <w:tab/>
        <w:t>Firm annual on-system backbone transmission charges are based on an annual average capacity factor of 87.5 percent.  Malin to on-system capacity increases each year consistent with the cost phase-in. Seasonal firm and As-available rates are set at 120 percent of the annual firm rates.  As-available rates are set at 110 percent of the annual firm rates through March 31, 1998, and at 120 percent thereafter.  The load factors used in setting backbone transmission rates remain constant through the Gas Accord period.  The core’s Topock to On-system path charge for firm seasonal capacity will be calculated at 110 percent of the firm annual price for the period through March 1998.</w:t>
      </w:r>
    </w:p>
    <w:p>
      <w:pPr>
        <w:pStyle w:val="Heading4"/>
        <w:keepNext w:val="false"/>
        <w:keepLines w:val="false"/>
        <w:widowControl/>
        <w:suppressAutoHyphens w:val="true"/>
        <w:rPr/>
      </w:pPr>
      <w:r>
        <w:rPr/>
        <w:t>b.</w:t>
        <w:tab/>
        <w:t>The Malin to off-system firm rates are calculated using incremental Line 401 costs and a 95 percent load factor.  The Malin to off-system As-available rates are set at 110 percent of firm rates through March 31, 1998, and at 120 percent thereafter.</w:t>
      </w:r>
    </w:p>
    <w:p>
      <w:pPr>
        <w:pStyle w:val="Heading4"/>
        <w:keepNext w:val="false"/>
        <w:keepLines w:val="false"/>
        <w:widowControl/>
        <w:suppressAutoHyphens w:val="true"/>
        <w:rPr/>
      </w:pPr>
      <w:r>
        <w:rPr/>
        <w:t>c.</w:t>
        <w:tab/>
        <w:t>On-system California production and storage to off-system rates are equal to the Malin to off-system rates.</w:t>
      </w:r>
    </w:p>
    <w:p>
      <w:pPr>
        <w:pStyle w:val="Heading3"/>
        <w:keepNext w:val="false"/>
        <w:keepLines w:val="false"/>
        <w:widowControl/>
        <w:suppressAutoHyphens w:val="true"/>
        <w:rPr/>
      </w:pPr>
      <w:r>
        <w:rPr/>
        <w:t>5.</w:t>
        <w:tab/>
        <w:t xml:space="preserve">Balancing Account Treatment </w:t>
      </w:r>
    </w:p>
    <w:p>
      <w:pPr>
        <w:pStyle w:val="Heading4"/>
        <w:keepNext w:val="false"/>
        <w:keepLines w:val="false"/>
        <w:widowControl/>
        <w:suppressAutoHyphens w:val="true"/>
        <w:rPr/>
      </w:pPr>
      <w:r>
        <w:rPr/>
        <w:t>a.</w:t>
        <w:tab/>
        <w:t>There will be no balancing account treatment for backbone or local transmission revenues, or for parking or lending service revenues.</w:t>
      </w:r>
    </w:p>
    <w:p>
      <w:pPr>
        <w:pStyle w:val="Heading4"/>
        <w:keepNext w:val="false"/>
        <w:keepLines w:val="false"/>
        <w:widowControl/>
        <w:suppressAutoHyphens w:val="true"/>
        <w:rPr/>
      </w:pPr>
      <w:r>
        <w:rPr/>
        <w:t>b.</w:t>
        <w:tab/>
        <w:t>The current storage program has a contractual operating period from April 1 through March 31.  Therefore, PG&amp;E will not offer firm storage service until April 1, 1998, and PG&amp;E will continue to honor storage contracts for the 1997/1998 storage season.  PG&amp;E may begin offering as-available storage service upon implementation of all other services if capacity is available.  Balancing account treatment for the current storage program will continue through       March 31, 1998.  Any outstanding balance plus interest will be allocated to core and noncore customers on an equal cents per therm basis.  PG&amp;E will absorb 100 percent of the core share.</w:t>
      </w:r>
    </w:p>
    <w:p>
      <w:pPr>
        <w:pStyle w:val="Heading3"/>
        <w:keepNext w:val="false"/>
        <w:keepLines w:val="false"/>
        <w:widowControl/>
        <w:suppressAutoHyphens w:val="true"/>
        <w:rPr/>
      </w:pPr>
      <w:r>
        <w:rPr/>
        <w:t>6.</w:t>
        <w:tab/>
        <w:t>Shrinkage (compressor fuel, and lost and unaccounted for gas)</w:t>
      </w:r>
    </w:p>
    <w:p>
      <w:pPr>
        <w:pStyle w:val="Normal"/>
        <w:widowControl/>
        <w:suppressAutoHyphens w:val="true"/>
        <w:ind w:start="1440" w:end="0"/>
        <w:rPr/>
      </w:pPr>
      <w:r>
        <w:rPr/>
      </w:r>
    </w:p>
    <w:p>
      <w:pPr>
        <w:pStyle w:val="Normal"/>
        <w:widowControl/>
        <w:suppressAutoHyphens w:val="true"/>
        <w:ind w:start="1080" w:end="0"/>
        <w:rPr/>
      </w:pPr>
      <w:r>
        <w:rPr/>
        <w:t>In-kind shrinkage will be charged to all gas shipped on the PG&amp;E transmission system on a postage-stamp basis.  Additional  shrinkage will be charged for distribution service, also on a postage-stamp basis.  The Malin to off-system shrinkage rate is the rate adopted in Decision 94-02-042.  The shrinkage rate for all other transmission paths is developed using rates authorized in PG&amp;E’s BCAP Decision 95-12-053 and is subject to change in subsequent BCAPs.  Transmission shrinkage will be charged for all deliveries into storage, but not for deliveries out of storage.</w:t>
      </w:r>
    </w:p>
    <w:p>
      <w:pPr>
        <w:pStyle w:val="Normal"/>
        <w:widowControl/>
        <w:tabs>
          <w:tab w:val="clear" w:pos="720"/>
          <w:tab w:val="left" w:pos="3600" w:leader="none"/>
          <w:tab w:val="center" w:pos="7200" w:leader="none"/>
        </w:tabs>
        <w:suppressAutoHyphens w:val="true"/>
        <w:spacing w:before="240" w:after="0"/>
        <w:ind w:hanging="720" w:start="2880" w:end="0"/>
        <w:rPr/>
      </w:pPr>
      <w:r>
        <w:rPr>
          <w:u w:val="single"/>
        </w:rPr>
        <w:t>Path</w:t>
      </w:r>
      <w:r>
        <w:rPr/>
        <w:tab/>
        <w:tab/>
      </w:r>
      <w:r>
        <w:rPr>
          <w:u w:val="single"/>
        </w:rPr>
        <w:t>Shrinkage Rate</w:t>
      </w:r>
    </w:p>
    <w:p>
      <w:pPr>
        <w:pStyle w:val="Normal"/>
        <w:widowControl/>
        <w:tabs>
          <w:tab w:val="clear" w:pos="720"/>
          <w:tab w:val="center" w:pos="7200" w:leader="none"/>
        </w:tabs>
        <w:suppressAutoHyphens w:val="true"/>
        <w:ind w:hanging="720" w:start="2880" w:end="0"/>
        <w:rPr/>
      </w:pPr>
      <w:r>
        <w:rPr/>
        <w:t>Malin to Off-system</w:t>
        <w:tab/>
        <w:t>1.11%</w:t>
      </w:r>
    </w:p>
    <w:p>
      <w:pPr>
        <w:pStyle w:val="Normal"/>
        <w:widowControl/>
        <w:tabs>
          <w:tab w:val="clear" w:pos="720"/>
          <w:tab w:val="center" w:pos="7200" w:leader="none"/>
        </w:tabs>
        <w:suppressAutoHyphens w:val="true"/>
        <w:ind w:hanging="720" w:start="2880" w:end="0"/>
        <w:rPr/>
      </w:pPr>
      <w:r>
        <w:rPr/>
        <w:t>All Other Transmission Paths</w:t>
        <w:tab/>
        <w:t>1.72%</w:t>
      </w:r>
    </w:p>
    <w:p>
      <w:pPr>
        <w:pStyle w:val="Heading3"/>
        <w:keepNext w:val="false"/>
        <w:keepLines w:val="false"/>
        <w:widowControl/>
        <w:suppressAutoHyphens w:val="true"/>
        <w:rPr/>
      </w:pPr>
      <w:r>
        <w:rPr/>
        <w:t>7.</w:t>
        <w:tab/>
        <w:t>Rate Adjustments</w:t>
      </w:r>
    </w:p>
    <w:p>
      <w:pPr>
        <w:pStyle w:val="Heading4"/>
        <w:keepNext w:val="false"/>
        <w:keepLines w:val="false"/>
        <w:widowControl/>
        <w:suppressAutoHyphens w:val="true"/>
        <w:rPr/>
      </w:pPr>
      <w:r>
        <w:rPr/>
        <w:t>a.</w:t>
        <w:tab/>
        <w:t>The Line 400 component of Malin rates escalates at 2.5 percent annually.</w:t>
      </w:r>
    </w:p>
    <w:p>
      <w:pPr>
        <w:pStyle w:val="Heading4"/>
        <w:keepNext w:val="false"/>
        <w:keepLines w:val="false"/>
        <w:widowControl/>
        <w:suppressAutoHyphens w:val="true"/>
        <w:rPr/>
      </w:pPr>
      <w:r>
        <w:rPr/>
        <w:t>b.</w:t>
        <w:tab/>
        <w:t xml:space="preserve">Line 401 costs used to establish the phase-in component of the Malin to on-system rates and the Malin to off-system rates are adjusted in accordance with PG&amp;E’s Pipeline Expansion Rate Case methodology and the litigation resolution agreement in Section V. </w:t>
      </w:r>
    </w:p>
    <w:p>
      <w:pPr>
        <w:pStyle w:val="Heading4"/>
        <w:keepNext w:val="false"/>
        <w:keepLines w:val="false"/>
        <w:widowControl/>
        <w:suppressAutoHyphens w:val="true"/>
        <w:rPr/>
      </w:pPr>
      <w:r>
        <w:rPr/>
        <w:t>c.</w:t>
        <w:tab/>
        <w:t>Line 300 rates escalate at 2.5 percent annually, plus the revenue requirement associated with the $42 million of capital cost additions for NOx-related retrofits needed to meet NOx emission standards.</w:t>
      </w:r>
    </w:p>
    <w:p>
      <w:pPr>
        <w:pStyle w:val="Heading4"/>
        <w:keepNext w:val="false"/>
        <w:keepLines w:val="false"/>
        <w:widowControl/>
        <w:suppressAutoHyphens w:val="true"/>
        <w:rPr/>
      </w:pPr>
      <w:r>
        <w:rPr/>
        <w:t>d.</w:t>
        <w:tab/>
        <w:t xml:space="preserve">Storage and parking and lending rates escalate at 2.5 percent annually.  </w:t>
      </w:r>
    </w:p>
    <w:p>
      <w:pPr>
        <w:pStyle w:val="Heading4"/>
        <w:keepNext w:val="false"/>
        <w:keepLines w:val="false"/>
        <w:widowControl/>
        <w:suppressAutoHyphens w:val="true"/>
        <w:rPr/>
      </w:pPr>
      <w:r>
        <w:rPr/>
        <w:t>e.</w:t>
        <w:tab/>
        <w:t>The guaranteed rates may be adjusted by a z-factor to reflect extraordinary costs or savings.  The z-factor is limited to known changes due to governmental action.  An example of a government action would include changes to the federal or state income tax rate.  The z-factor mechanism would not replace either the current CEMA or the Hazardous Substance incentive mechanism, both of which would remain in effect.</w:t>
      </w:r>
    </w:p>
    <w:p>
      <w:pPr>
        <w:pStyle w:val="Heading4"/>
        <w:keepNext w:val="false"/>
        <w:keepLines w:val="false"/>
        <w:widowControl/>
        <w:suppressAutoHyphens w:val="true"/>
        <w:rPr/>
      </w:pPr>
      <w:r>
        <w:rPr/>
        <w:t>f.</w:t>
        <w:tab/>
        <w:t>The following z-factor sharing mechanism (costs or savings) is adopted for cost responsibility per each extraordinary event:</w:t>
      </w:r>
    </w:p>
    <w:p>
      <w:pPr>
        <w:pStyle w:val="Normal"/>
        <w:widowControl/>
        <w:tabs>
          <w:tab w:val="clear" w:pos="720"/>
          <w:tab w:val="left" w:pos="7200" w:leader="none"/>
        </w:tabs>
        <w:suppressAutoHyphens w:val="true"/>
        <w:spacing w:before="240" w:after="0"/>
        <w:ind w:hanging="720" w:start="3600" w:end="0"/>
        <w:rPr/>
      </w:pPr>
      <w:r>
        <w:rPr/>
        <w:t>z-Factor Cost (Savings)</w:t>
        <w:tab/>
        <w:t>Cost</w:t>
      </w:r>
    </w:p>
    <w:p>
      <w:pPr>
        <w:pStyle w:val="Normal"/>
        <w:widowControl/>
        <w:tabs>
          <w:tab w:val="clear" w:pos="720"/>
          <w:tab w:val="left" w:pos="7200" w:leader="none"/>
        </w:tabs>
        <w:suppressAutoHyphens w:val="true"/>
        <w:ind w:hanging="720" w:start="3600" w:end="0"/>
        <w:rPr/>
      </w:pPr>
      <w:r>
        <w:rPr>
          <w:u w:val="single"/>
        </w:rPr>
        <w:t xml:space="preserve">            </w:t>
      </w:r>
      <w:r>
        <w:rPr>
          <w:u w:val="single"/>
        </w:rPr>
        <w:t xml:space="preserve">Per Event            </w:t>
      </w:r>
      <w:r>
        <w:rPr/>
        <w:tab/>
      </w:r>
      <w:r>
        <w:rPr>
          <w:u w:val="single"/>
        </w:rPr>
        <w:t>Responsibility</w:t>
      </w:r>
    </w:p>
    <w:p>
      <w:pPr>
        <w:pStyle w:val="Normal"/>
        <w:widowControl/>
        <w:tabs>
          <w:tab w:val="clear" w:pos="720"/>
          <w:tab w:val="left" w:pos="7200" w:leader="none"/>
        </w:tabs>
        <w:suppressAutoHyphens w:val="true"/>
        <w:ind w:hanging="720" w:start="3600" w:end="0"/>
        <w:rPr/>
      </w:pPr>
      <w:r>
        <w:rPr/>
      </w:r>
    </w:p>
    <w:p>
      <w:pPr>
        <w:pStyle w:val="Normal"/>
        <w:widowControl/>
        <w:tabs>
          <w:tab w:val="clear" w:pos="720"/>
          <w:tab w:val="left" w:pos="3600" w:leader="none"/>
          <w:tab w:val="left" w:pos="7200" w:leader="none"/>
        </w:tabs>
        <w:suppressAutoHyphens w:val="true"/>
        <w:rPr/>
      </w:pPr>
      <w:r>
        <w:rPr/>
        <w:tab/>
        <w:t>$0 - $5 million</w:t>
        <w:tab/>
        <w:t>100% PG&amp;E</w:t>
      </w:r>
    </w:p>
    <w:p>
      <w:pPr>
        <w:pStyle w:val="Normal"/>
        <w:widowControl/>
        <w:tabs>
          <w:tab w:val="clear" w:pos="720"/>
          <w:tab w:val="left" w:pos="3600" w:leader="none"/>
          <w:tab w:val="left" w:pos="7200" w:leader="none"/>
        </w:tabs>
        <w:suppressAutoHyphens w:val="true"/>
        <w:rPr/>
      </w:pPr>
      <w:r>
        <w:rPr/>
        <w:tab/>
        <w:t>&gt; $5 - $10 million</w:t>
        <w:tab/>
        <w:t>50/50 sharing</w:t>
      </w:r>
    </w:p>
    <w:p>
      <w:pPr>
        <w:pStyle w:val="Normal"/>
        <w:widowControl/>
        <w:tabs>
          <w:tab w:val="clear" w:pos="720"/>
          <w:tab w:val="left" w:pos="3600" w:leader="none"/>
          <w:tab w:val="left" w:pos="7200" w:leader="none"/>
        </w:tabs>
        <w:suppressAutoHyphens w:val="true"/>
        <w:rPr/>
      </w:pPr>
      <w:r>
        <w:rPr/>
        <w:tab/>
        <w:t>&gt; $10 million</w:t>
        <w:tab/>
        <w:t>100% customers</w:t>
      </w:r>
    </w:p>
    <w:p>
      <w:pPr>
        <w:pStyle w:val="Heading3"/>
        <w:keepNext w:val="false"/>
        <w:keepLines w:val="false"/>
        <w:widowControl/>
        <w:suppressAutoHyphens w:val="true"/>
        <w:rPr/>
      </w:pPr>
      <w:r>
        <w:rPr/>
        <w:t>8.</w:t>
        <w:tab/>
        <w:t>Local Transmission Charge</w:t>
      </w:r>
    </w:p>
    <w:p>
      <w:pPr>
        <w:pStyle w:val="Heading4"/>
        <w:keepNext w:val="false"/>
        <w:keepLines w:val="false"/>
        <w:widowControl/>
        <w:suppressAutoHyphens w:val="true"/>
        <w:rPr/>
      </w:pPr>
      <w:r>
        <w:rPr/>
        <w:t>a.</w:t>
        <w:tab/>
        <w:t>The charge includes the cost of local transmission facilities.</w:t>
      </w:r>
    </w:p>
    <w:p>
      <w:pPr>
        <w:pStyle w:val="Heading4"/>
        <w:keepNext w:val="false"/>
        <w:keepLines w:val="false"/>
        <w:widowControl/>
        <w:suppressAutoHyphens w:val="true"/>
        <w:rPr/>
      </w:pPr>
      <w:r>
        <w:rPr/>
        <w:t>b.</w:t>
        <w:tab/>
        <w:t>The local transmission charge is paid by all on-system end-users.  This charge is          non-bypassable.</w:t>
      </w:r>
    </w:p>
    <w:p>
      <w:pPr>
        <w:pStyle w:val="Heading4"/>
        <w:keepNext w:val="false"/>
        <w:keepLines w:val="false"/>
        <w:widowControl/>
        <w:suppressAutoHyphens w:val="true"/>
        <w:rPr/>
      </w:pPr>
      <w:r>
        <w:rPr/>
        <w:t>c.</w:t>
        <w:tab/>
        <w:t>The local transmission charge varies by core and noncore customer class.  Local transmission costs are allocated to core and noncore based on LRMC methodology from PG&amp;E’s BCAP Decision 95-12-053.</w:t>
      </w:r>
    </w:p>
    <w:p>
      <w:pPr>
        <w:pStyle w:val="Heading4"/>
        <w:keepNext w:val="false"/>
        <w:keepLines w:val="false"/>
        <w:widowControl/>
        <w:suppressAutoHyphens w:val="true"/>
        <w:rPr/>
      </w:pPr>
      <w:r>
        <w:rPr/>
        <w:t>d.</w:t>
        <w:tab/>
        <w:t>Local transmission rates escalate at 2.5 percent annually.</w:t>
      </w:r>
    </w:p>
    <w:p>
      <w:pPr>
        <w:pStyle w:val="Heading4"/>
        <w:keepNext w:val="false"/>
        <w:keepLines w:val="false"/>
        <w:widowControl/>
        <w:suppressAutoHyphens w:val="true"/>
        <w:rPr/>
      </w:pPr>
      <w:r>
        <w:rPr/>
        <w:t>e.</w:t>
        <w:tab/>
        <w:t>The local transmission charge will have no balancing account protection.</w:t>
      </w:r>
    </w:p>
    <w:p>
      <w:pPr>
        <w:pStyle w:val="Heading4"/>
        <w:keepNext w:val="false"/>
        <w:keepLines w:val="false"/>
        <w:widowControl/>
        <w:suppressAutoHyphens w:val="true"/>
        <w:rPr/>
      </w:pPr>
      <w:r>
        <w:rPr/>
        <w:t>f.</w:t>
        <w:tab/>
        <w:t>The rates are guaranteed for the Accord period, subject only to the z</w:t>
        <w:noBreakHyphen/>
        <w:t>factor provisions of Section II.I.7.</w:t>
      </w:r>
    </w:p>
    <w:p>
      <w:pPr>
        <w:pStyle w:val="Heading4"/>
        <w:keepNext w:val="false"/>
        <w:keepLines w:val="false"/>
        <w:widowControl/>
        <w:suppressAutoHyphens w:val="true"/>
        <w:rPr/>
      </w:pPr>
      <w:r>
        <w:rPr/>
        <w:t>g.</w:t>
        <w:tab/>
        <w:t xml:space="preserve"> Local transmission rates are shown in Section VI.</w:t>
      </w:r>
    </w:p>
    <w:p>
      <w:pPr>
        <w:pStyle w:val="Heading3"/>
        <w:keepNext w:val="false"/>
        <w:keepLines w:val="false"/>
        <w:widowControl/>
        <w:suppressAutoHyphens w:val="true"/>
        <w:rPr/>
      </w:pPr>
      <w:r>
        <w:rPr/>
        <w:t>9.</w:t>
        <w:tab/>
        <w:t>Customer Class Charge</w:t>
      </w:r>
    </w:p>
    <w:p>
      <w:pPr>
        <w:pStyle w:val="Heading4"/>
        <w:keepNext w:val="false"/>
        <w:keepLines w:val="false"/>
        <w:widowControl/>
        <w:suppressAutoHyphens w:val="true"/>
        <w:rPr/>
      </w:pPr>
      <w:r>
        <w:rPr/>
        <w:t>a.</w:t>
        <w:tab/>
        <w:t>The customer class charge is designed to collect social, environmental and transition costs, balancing account balances, and all other non-base revenue requirements.  Some of the costs included in this charge are CARE, CEE programs, hazardous substance, and ITCS costs.</w:t>
      </w:r>
    </w:p>
    <w:p>
      <w:pPr>
        <w:pStyle w:val="Heading4"/>
        <w:keepNext w:val="false"/>
        <w:keepLines w:val="false"/>
        <w:widowControl/>
        <w:suppressAutoHyphens w:val="true"/>
        <w:rPr/>
      </w:pPr>
      <w:r>
        <w:rPr/>
        <w:t>b.</w:t>
        <w:tab/>
        <w:t>The core customer class charge does not include ITCS.  PG&amp;E will absorb all of the core portion of the ITCS charges as defined herein, less brokering revenues, plus interest, from the beginning of the ITCS account, as part of the litigation resolution described in Section V.  The customer class charge includes a “true-up” of ITCS costs collected from core customers prior to Accord implementation.</w:t>
      </w:r>
    </w:p>
    <w:p>
      <w:pPr>
        <w:pStyle w:val="Heading4"/>
        <w:keepNext w:val="false"/>
        <w:keepLines w:val="false"/>
        <w:widowControl/>
        <w:suppressAutoHyphens w:val="true"/>
        <w:rPr/>
      </w:pPr>
      <w:r>
        <w:rPr/>
        <w:t>c.</w:t>
        <w:tab/>
        <w:t>The noncore customer class charge includes only 50 percent of the noncore ITCS costs, less brokering revenues, plus interest, from the beginning of the ITCS account.  PG&amp;E will absorb the remaining 50 percent of the noncore ITCS costs, as part of the litigation resolution described in Section V.</w:t>
      </w:r>
    </w:p>
    <w:p>
      <w:pPr>
        <w:pStyle w:val="Heading4"/>
        <w:keepNext w:val="false"/>
        <w:keepLines w:val="false"/>
        <w:widowControl/>
        <w:suppressAutoHyphens w:val="true"/>
        <w:rPr/>
      </w:pPr>
      <w:r>
        <w:rPr/>
        <w:t>d.</w:t>
        <w:tab/>
        <w:t>The customer class charge does not include any component for recovery of the backbone credit.  PG&amp;E will absorb 100 percent of the Backbone Credit Account.  PG&amp;E will not provide any shipper with a backbone credit after the Gas Accord is approved, as part of the litigation resolution described in Section V.</w:t>
      </w:r>
    </w:p>
    <w:p>
      <w:pPr>
        <w:pStyle w:val="Heading4"/>
        <w:keepNext w:val="false"/>
        <w:keepLines w:val="false"/>
        <w:widowControl/>
        <w:suppressAutoHyphens w:val="true"/>
        <w:rPr/>
      </w:pPr>
      <w:r>
        <w:rPr/>
        <w:t>e.</w:t>
        <w:tab/>
        <w:t>Initial customer class charges have been allocated to customer classes and will be collected in rates as determined in PG&amp;E’s 1996 GRC and PG&amp;E’s BCAP Decision 95-12-053.  These charges will be periodically adjusted based on the regulatory proceedings associated with each account and continue to be subject to balancing account treatment.</w:t>
      </w:r>
    </w:p>
    <w:p>
      <w:pPr>
        <w:pStyle w:val="Heading4"/>
        <w:keepNext w:val="false"/>
        <w:keepLines w:val="false"/>
        <w:widowControl/>
        <w:suppressAutoHyphens w:val="true"/>
        <w:rPr/>
      </w:pPr>
      <w:r>
        <w:rPr/>
        <w:t>f.</w:t>
        <w:tab/>
        <w:t>PG&amp;E will collect the existing balance in the Noncore Fixed Cost Account (NFCA), but will not record any activity to the account other than amortization revenue and interest after implementation of the Gas Accord.</w:t>
      </w:r>
    </w:p>
    <w:p>
      <w:pPr>
        <w:pStyle w:val="Heading4"/>
        <w:keepNext w:val="false"/>
        <w:keepLines w:val="false"/>
        <w:widowControl/>
        <w:suppressAutoHyphens w:val="true"/>
        <w:rPr/>
      </w:pPr>
      <w:r>
        <w:rPr/>
        <w:t>g.</w:t>
        <w:tab/>
        <w:t>Customer class charges will be paid by on-system end-users only.  However, loads subject to Line 401 direct connect agreements or EOR contracts will neither pay, nor be allocated, customer class charges while the direct connect agreements or contracts are in effect.</w:t>
      </w:r>
    </w:p>
    <w:p>
      <w:pPr>
        <w:pStyle w:val="Heading4"/>
        <w:keepNext w:val="false"/>
        <w:keepLines w:val="false"/>
        <w:widowControl/>
        <w:suppressAutoHyphens w:val="true"/>
        <w:rPr/>
      </w:pPr>
      <w:r>
        <w:rPr/>
        <w:t>h.</w:t>
        <w:tab/>
        <w:t>Forecast customer class charges are shown in Section VI.</w:t>
      </w:r>
    </w:p>
    <w:p>
      <w:pPr>
        <w:pStyle w:val="Heading3"/>
        <w:keepNext w:val="false"/>
        <w:keepLines w:val="false"/>
        <w:widowControl/>
        <w:suppressAutoHyphens w:val="true"/>
        <w:rPr/>
      </w:pPr>
      <w:r>
        <w:rPr/>
        <w:t>10.</w:t>
        <w:tab/>
        <w:t>Customer Access Charge</w:t>
      </w:r>
    </w:p>
    <w:p>
      <w:pPr>
        <w:pStyle w:val="Heading4"/>
        <w:keepNext w:val="false"/>
        <w:keepLines w:val="false"/>
        <w:widowControl/>
        <w:suppressAutoHyphens w:val="true"/>
        <w:rPr/>
      </w:pPr>
      <w:r>
        <w:rPr/>
        <w:t>a.</w:t>
        <w:tab/>
        <w:t>End-users who are directly connected to the transmission system will pay a customer access charge each month.  The purpose of the customer access charge is to assess the end-user a fee for the cost of providing and maintaining the individual end-user’s service connection to the transmission system.</w:t>
      </w:r>
    </w:p>
    <w:p>
      <w:pPr>
        <w:pStyle w:val="Heading4"/>
        <w:keepNext w:val="false"/>
        <w:keepLines w:val="false"/>
        <w:widowControl/>
        <w:suppressAutoHyphens w:val="true"/>
        <w:rPr/>
      </w:pPr>
      <w:r>
        <w:rPr/>
        <w:t>b.</w:t>
        <w:tab/>
        <w:t>For industrial end-users, the customer access charges will be the same as the current industrial customer charge.  With the current industrial customer charge, each end-user is placed in one of six tiers depending on the end-user’s specific annual volumetric usage.  There is a specific monthly charge associated with each tier.  Distribution industrial customers will have the same initial customer access charge as part of their distribution rates.</w:t>
      </w:r>
    </w:p>
    <w:p>
      <w:pPr>
        <w:pStyle w:val="Heading4"/>
        <w:keepNext w:val="false"/>
        <w:keepLines w:val="false"/>
        <w:widowControl/>
        <w:suppressAutoHyphens w:val="true"/>
        <w:rPr/>
      </w:pPr>
      <w:r>
        <w:rPr/>
        <w:t>c.</w:t>
        <w:tab/>
        <w:t>The UEG and cogenerator customer access charges will be based on the annual scaled marginal customer cost revenues adopted in BCAP Decision 95-12-053.  For UEG, the customer access charge is a monthly charge.  For cogeneration end-users, the customer access charge will be a volumetric adder, calculated such that the UEG-cogeneration rate parity is maintained.  For cogeneration end-users currently on Schedule G-CGS, the volumetric adder will equal UEG customer access charges for twelve months divided by the UEG average annual forecasted throughput adopted in BCAP Decision 95-12-053.  For cogeneration end-users currently on Schedule G-EPO, the volumetric adder will equal the UEG monthly customer charge divided by UEG actual monthly throughput, lagged by sixty days.</w:t>
      </w:r>
    </w:p>
    <w:p>
      <w:pPr>
        <w:pStyle w:val="Heading4"/>
        <w:keepNext w:val="false"/>
        <w:keepLines w:val="false"/>
        <w:widowControl/>
        <w:suppressAutoHyphens w:val="true"/>
        <w:rPr/>
      </w:pPr>
      <w:r>
        <w:rPr/>
        <w:t>d.</w:t>
        <w:tab/>
        <w:t>For wholesale customers, the customer access charge for each month of 1997 will equal the scaled annual marginal customer cost revenues adopted in BCAP Decision 95-12-053 for each specific wholesale customer divided by twelve.</w:t>
      </w:r>
    </w:p>
    <w:p>
      <w:pPr>
        <w:pStyle w:val="Heading4"/>
        <w:keepNext w:val="false"/>
        <w:keepLines w:val="false"/>
        <w:widowControl/>
        <w:suppressAutoHyphens w:val="true"/>
        <w:rPr/>
      </w:pPr>
      <w:r>
        <w:rPr/>
        <w:t>e.</w:t>
        <w:tab/>
        <w:t>Customer access charges escalate at 2.5 percent per year annually.</w:t>
      </w:r>
    </w:p>
    <w:p>
      <w:pPr>
        <w:pStyle w:val="Heading4"/>
        <w:keepNext w:val="false"/>
        <w:keepLines w:val="false"/>
        <w:widowControl/>
        <w:suppressAutoHyphens w:val="true"/>
        <w:rPr/>
      </w:pPr>
      <w:r>
        <w:rPr/>
        <w:t>f.</w:t>
        <w:tab/>
        <w:t>Current customer access charges are shown in Section VI.</w:t>
      </w:r>
    </w:p>
    <w:p>
      <w:pPr>
        <w:pStyle w:val="Heading4"/>
        <w:widowControl/>
        <w:rPr/>
      </w:pPr>
      <w:r>
        <w:rPr/>
        <w:t>g.</w:t>
        <w:tab/>
        <w:t>Customer access charges for transmission level customers are guaranteed for the Accord period, subject only to z-factor changes described in Section II.I.7.</w:t>
      </w:r>
    </w:p>
    <w:p>
      <w:pPr>
        <w:pStyle w:val="BodyText"/>
        <w:rPr/>
      </w:pPr>
      <w:r>
        <w:rPr/>
      </w:r>
    </w:p>
    <w:p>
      <w:pPr>
        <w:pStyle w:val="Heading3"/>
        <w:keepNext w:val="false"/>
        <w:keepLines w:val="false"/>
        <w:widowControl/>
        <w:suppressAutoHyphens w:val="true"/>
        <w:rPr/>
      </w:pPr>
      <w:r>
        <w:rPr/>
        <w:t>11.</w:t>
        <w:tab/>
        <w:t>Cogeneration Rate Parity</w:t>
      </w:r>
    </w:p>
    <w:p>
      <w:pPr>
        <w:pStyle w:val="Heading4"/>
        <w:keepNext w:val="false"/>
        <w:keepLines w:val="false"/>
        <w:widowControl/>
        <w:suppressAutoHyphens w:val="true"/>
        <w:rPr/>
      </w:pPr>
      <w:r>
        <w:rPr/>
        <w:t>a.</w:t>
        <w:tab/>
        <w:t>On-system cogeneration tariff transmission rates will be available to all cogenerators, including EPO3 cogenerators, from PG&amp;E’s transmission department.  For each path and service, cogenerator rates will be set equal to the average Utility Electric Generation (UEG) rate for that path and service.  UEG negotiated rates received from PG&amp;E’s transmission department will be included in the rate calculations on a weighted average,</w:t>
      </w:r>
      <w:r>
        <w:rPr>
          <w:rStyle w:val="FootnoteCharacters"/>
          <w:rStyle w:val="FootnoteReference"/>
        </w:rPr>
        <w:footnoteReference w:id="2"/>
      </w:r>
      <w:r>
        <w:rPr>
          <w:vertAlign w:val="superscript"/>
        </w:rPr>
        <w:t>/</w:t>
      </w:r>
      <w:r>
        <w:rPr/>
        <w:t xml:space="preserve"> path specific, service specific</w:t>
      </w:r>
      <w:r>
        <w:rPr>
          <w:rStyle w:val="FootnoteCharacters"/>
          <w:rStyle w:val="FootnoteReference"/>
        </w:rPr>
        <w:footnoteReference w:id="3"/>
      </w:r>
      <w:r>
        <w:rPr>
          <w:vertAlign w:val="superscript"/>
        </w:rPr>
        <w:t>/</w:t>
      </w:r>
      <w:r>
        <w:rPr/>
        <w:t xml:space="preserve"> basis.  PG&amp;E will develop, in cooperation with cogenerators, a mechanism to incorporate UEG negotiated rates into cogeneration rates.</w:t>
      </w:r>
    </w:p>
    <w:p>
      <w:pPr>
        <w:pStyle w:val="Heading4"/>
        <w:keepNext w:val="false"/>
        <w:keepLines w:val="false"/>
        <w:widowControl/>
        <w:suppressAutoHyphens w:val="true"/>
        <w:rPr/>
      </w:pPr>
      <w:r>
        <w:rPr/>
        <w:t>b.</w:t>
        <w:tab/>
        <w:t>In the event that the current methodology used to determine payments to EPO3 cogenerators changes so that it is no longer based on actual UEG natural gas costs, PG&amp;E will negotiate with EPO3 customers in good faith to develop a method for calculating EPO3 natural gas transmission service rates which maintains the linkage between EPO3 cogenerators’ transmission rates and their electricity payments.  Such resulting rates would be subject to CPUC approval and will apply only until the expiration of the EPO3 payment option.</w:t>
      </w:r>
    </w:p>
    <w:p>
      <w:pPr>
        <w:pStyle w:val="Heading4"/>
        <w:keepNext w:val="false"/>
        <w:keepLines w:val="false"/>
        <w:widowControl/>
        <w:suppressAutoHyphens w:val="true"/>
        <w:rPr/>
      </w:pPr>
      <w:r>
        <w:rPr/>
        <w:t>c.</w:t>
        <w:tab/>
        <w:t>Transportation services provided to the UEG by entities other than PG&amp;E’s transmission department will not be included in the cogeneration rate calculations.  The UEG includes only PG&amp;E-owned utility fossil-fired generation facilities.  If the UEG does not take any service from PG&amp;E’s transmission department on a particular path for a particular service, the on-system cogeneration tariff rates for that path and service will equal the otherwise-applicable cogeneration tariff rates for that path and service.</w:t>
      </w:r>
    </w:p>
    <w:p>
      <w:pPr>
        <w:pStyle w:val="Heading4"/>
        <w:keepNext w:val="false"/>
        <w:keepLines w:val="false"/>
        <w:widowControl/>
        <w:suppressAutoHyphens w:val="true"/>
        <w:rPr/>
      </w:pPr>
      <w:r>
        <w:rPr/>
        <w:t>d.</w:t>
        <w:tab/>
        <w:t>On-system cogeneration transmission rates will be available only to cogeneration end-users for their own usage up to the authorized cogenerator gas allowance.</w:t>
      </w:r>
      <w:r>
        <w:rPr>
          <w:rStyle w:val="FootnoteCharacters"/>
          <w:rStyle w:val="FootnoteReference"/>
        </w:rPr>
        <w:footnoteReference w:id="4"/>
      </w:r>
      <w:r>
        <w:rPr>
          <w:vertAlign w:val="superscript"/>
        </w:rPr>
        <w:t>/</w:t>
      </w:r>
      <w:r>
        <w:rPr/>
        <w:t xml:space="preserve">  If the cogeneration rate parity statute (Public Utilities Code Section 454.4) is amended or repealed so that “rate parity” is no longer required by statute,</w:t>
      </w:r>
      <w:r>
        <w:rPr>
          <w:rStyle w:val="FootnoteCharacters"/>
          <w:rStyle w:val="FootnoteReference"/>
        </w:rPr>
        <w:footnoteReference w:id="5"/>
      </w:r>
      <w:r>
        <w:rPr>
          <w:vertAlign w:val="superscript"/>
        </w:rPr>
        <w:t>/</w:t>
      </w:r>
      <w:r>
        <w:rPr/>
        <w:t xml:space="preserve"> and if the CPUC for whatever reason no longer requires such rate parity, then there will be no separate transmission tariff rates applicable to cogeneration end-users.  For purposes of this paragraph, PG&amp;E shall be free at any time (following the amendment or repeal of the cogeneration rate parity statute so that “rate parity” is no longer required by statute) to file a superseding tariff for cogenerators with the CPUC, which filing may be the occasion for the CPUC to reevaluate the requirement for such rate parity.  Cogenerators expressly retain the right to oppose such a filing by PG&amp;E. </w:t>
      </w:r>
      <w:r>
        <w:rPr>
          <w:rStyle w:val="FootnoteCharacters"/>
          <w:rStyle w:val="FootnoteReference"/>
        </w:rPr>
        <w:footnoteReference w:id="6"/>
      </w:r>
      <w:r>
        <w:rPr>
          <w:vertAlign w:val="superscript"/>
        </w:rPr>
        <w:t>/</w:t>
      </w:r>
    </w:p>
    <w:p>
      <w:pPr>
        <w:pStyle w:val="Heading4"/>
        <w:keepNext w:val="false"/>
        <w:keepLines w:val="false"/>
        <w:widowControl/>
        <w:suppressAutoHyphens w:val="true"/>
        <w:rPr/>
      </w:pPr>
      <w:r>
        <w:rPr/>
        <w:t>e.</w:t>
        <w:tab/>
        <w:t>An on-system cogenerator’s monthly bill for non-discounted tariff service provided by PG&amp;E’s transmission department shall be the minimum of the bill calculated using the transmission rates described above, and the bill calculated using the otherwise-applicable tariff transmission rates for that path and service.</w:t>
      </w:r>
    </w:p>
    <w:p>
      <w:pPr>
        <w:pStyle w:val="Heading4"/>
        <w:keepNext w:val="false"/>
        <w:keepLines w:val="false"/>
        <w:widowControl/>
        <w:suppressAutoHyphens w:val="true"/>
        <w:rPr/>
      </w:pPr>
      <w:r>
        <w:rPr/>
        <w:t>f.</w:t>
        <w:tab/>
        <w:t>During open seasons for intrastate transmission capacity, PG&amp;E will notify on-system cogenerators of UEG’s elections for service from PG&amp;E’s transmission department three business days prior to the date that cogenerators must make their service elections.  PG&amp;E will also notify on-system cogenerators of UEG’s other elections for service from PG&amp;E’s transmission department as they may occur from time to time.  This will apply only to UEG service agreements whose durations are more than 30 days.</w:t>
      </w:r>
    </w:p>
    <w:p>
      <w:pPr>
        <w:pStyle w:val="BodyText"/>
        <w:suppressAutoHyphens w:val="true"/>
        <w:rPr/>
      </w:pPr>
      <w:r>
        <w:rPr/>
      </w:r>
      <w:r>
        <w:br w:type="page"/>
      </w:r>
    </w:p>
    <w:p>
      <w:pPr>
        <w:pStyle w:val="Heading1"/>
        <w:keepNext w:val="false"/>
        <w:keepLines w:val="false"/>
        <w:widowControl/>
        <w:suppressAutoHyphens w:val="true"/>
        <w:rPr/>
      </w:pPr>
      <w:r>
        <w:rPr/>
        <w:t>III.</w:t>
        <w:tab/>
        <w:t>DISTRIBUTION SERVICES</w:t>
      </w:r>
    </w:p>
    <w:p>
      <w:pPr>
        <w:pStyle w:val="Heading2"/>
        <w:keepNext w:val="false"/>
        <w:keepLines w:val="false"/>
        <w:widowControl/>
        <w:suppressAutoHyphens w:val="true"/>
        <w:rPr/>
      </w:pPr>
      <w:r>
        <w:rPr/>
        <w:t>A.</w:t>
        <w:tab/>
        <w:t>Services for Noncore End-users</w:t>
      </w:r>
    </w:p>
    <w:p>
      <w:pPr>
        <w:pStyle w:val="Heading3"/>
        <w:keepNext w:val="false"/>
        <w:keepLines w:val="false"/>
        <w:widowControl/>
        <w:suppressAutoHyphens w:val="true"/>
        <w:rPr/>
      </w:pPr>
      <w:r>
        <w:rPr/>
        <w:t>1.</w:t>
        <w:tab/>
        <w:t xml:space="preserve">Distribution transportation service:  Noncore customers connected to PG&amp;E’s distribution system may arrange for transmission, storage, and supply services separately.  These customers receive noncore distribution service from PG&amp;E. </w:t>
      </w:r>
    </w:p>
    <w:p>
      <w:pPr>
        <w:pStyle w:val="Heading3"/>
        <w:keepNext w:val="false"/>
        <w:keepLines w:val="false"/>
        <w:widowControl/>
        <w:suppressAutoHyphens w:val="true"/>
        <w:rPr/>
      </w:pPr>
      <w:r>
        <w:rPr/>
        <w:t>2.</w:t>
        <w:tab/>
        <w:t>Core subscription:  Noncore customers may have PG&amp;E arrange for their supply and transmission service under core subscription service, described in Section IV.M.</w:t>
      </w:r>
    </w:p>
    <w:p>
      <w:pPr>
        <w:pStyle w:val="Heading3"/>
        <w:keepNext w:val="false"/>
        <w:keepLines w:val="false"/>
        <w:widowControl/>
        <w:suppressAutoHyphens w:val="true"/>
        <w:rPr/>
      </w:pPr>
      <w:r>
        <w:rPr/>
        <w:t>3.</w:t>
        <w:tab/>
        <w:t>Residual load service:  PG&amp;E will propose a residual load service in the next BCAP.</w:t>
      </w:r>
    </w:p>
    <w:p>
      <w:pPr>
        <w:pStyle w:val="Heading2"/>
        <w:keepNext w:val="false"/>
        <w:keepLines w:val="false"/>
        <w:widowControl/>
        <w:suppressAutoHyphens w:val="true"/>
        <w:rPr/>
      </w:pPr>
      <w:r>
        <w:rPr/>
        <w:t>B.</w:t>
        <w:tab/>
        <w:t xml:space="preserve">Service for Core End-users </w:t>
      </w:r>
    </w:p>
    <w:p>
      <w:pPr>
        <w:pStyle w:val="Heading3"/>
        <w:keepNext w:val="false"/>
        <w:keepLines w:val="false"/>
        <w:widowControl/>
        <w:suppressAutoHyphens w:val="true"/>
        <w:rPr/>
      </w:pPr>
      <w:r>
        <w:rPr/>
        <w:t>1.</w:t>
        <w:tab/>
        <w:t>PG&amp;E will continue to provide bundled service for core end-users.  See Section IV for changes that may affect core service.</w:t>
      </w:r>
    </w:p>
    <w:p>
      <w:pPr>
        <w:pStyle w:val="Heading3"/>
        <w:keepNext w:val="false"/>
        <w:keepLines w:val="false"/>
        <w:widowControl/>
        <w:suppressAutoHyphens w:val="true"/>
        <w:rPr/>
      </w:pPr>
      <w:r>
        <w:rPr/>
        <w:t>2.</w:t>
        <w:tab/>
        <w:t>PG&amp;E will also provide core transport service for core end-users.  See Section IV for a discussion of core aggregation.</w:t>
      </w:r>
    </w:p>
    <w:p>
      <w:pPr>
        <w:pStyle w:val="Heading2"/>
        <w:keepNext w:val="false"/>
        <w:keepLines w:val="false"/>
        <w:widowControl/>
        <w:suppressAutoHyphens w:val="true"/>
        <w:rPr/>
      </w:pPr>
      <w:r>
        <w:rPr/>
        <w:t>C.</w:t>
        <w:tab/>
        <w:t>Rates and Cost Allocation</w:t>
      </w:r>
    </w:p>
    <w:p>
      <w:pPr>
        <w:pStyle w:val="Heading3"/>
        <w:keepNext w:val="false"/>
        <w:keepLines w:val="false"/>
        <w:widowControl/>
        <w:suppressAutoHyphens w:val="true"/>
        <w:rPr/>
      </w:pPr>
      <w:r>
        <w:rPr/>
        <w:t>1.</w:t>
        <w:tab/>
        <w:t>Distribution Revenue Requirement Assumptions</w:t>
      </w:r>
    </w:p>
    <w:p>
      <w:pPr>
        <w:pStyle w:val="Heading4"/>
        <w:keepNext w:val="false"/>
        <w:keepLines w:val="false"/>
        <w:widowControl/>
        <w:suppressAutoHyphens w:val="true"/>
        <w:rPr/>
      </w:pPr>
      <w:r>
        <w:rPr/>
        <w:t>a.</w:t>
        <w:tab/>
        <w:t>The initial natural gas distribution revenue requirement will match PG&amp;E’s 1996 GRC Decision 95-12-055, consistent with the transfer of DFMs to local transmission.  Customer access charges for transmission-level end-users have been moved from the distribution revenue requirement to the customer access charge.</w:t>
      </w:r>
    </w:p>
    <w:p>
      <w:pPr>
        <w:pStyle w:val="Heading4"/>
        <w:keepNext w:val="false"/>
        <w:keepLines w:val="false"/>
        <w:widowControl/>
        <w:suppressAutoHyphens w:val="true"/>
        <w:rPr/>
      </w:pPr>
      <w:r>
        <w:rPr/>
        <w:t>b.</w:t>
        <w:tab/>
        <w:t>The distribution revenue requirement in future years of the Gas Accord will be based on cost of service or Performance Based Regulation (PBR), whichever is applicable.  For the purposes of calculating the illustrative rates shown in Table 16 in Section VI, the revenue requirement escalates at 2.5 percent per year.</w:t>
      </w:r>
    </w:p>
    <w:p>
      <w:pPr>
        <w:pStyle w:val="Heading3"/>
        <w:keepNext w:val="false"/>
        <w:keepLines w:val="false"/>
        <w:widowControl/>
        <w:suppressAutoHyphens w:val="true"/>
        <w:rPr/>
      </w:pPr>
      <w:r>
        <w:rPr/>
        <w:t>2.</w:t>
        <w:tab/>
        <w:t>Distribution Cost Allocation</w:t>
      </w:r>
    </w:p>
    <w:p>
      <w:pPr>
        <w:pStyle w:val="Heading4"/>
        <w:keepNext w:val="false"/>
        <w:keepLines w:val="false"/>
        <w:widowControl/>
        <w:suppressAutoHyphens w:val="true"/>
        <w:rPr/>
      </w:pPr>
      <w:r>
        <w:rPr/>
        <w:t>a.</w:t>
        <w:tab/>
        <w:t xml:space="preserve">The initial distribution revenue requirement will be allocated to end-users on an Equal Percent of Marginal Cost (EPMC) basis, using distribution and customer marginal cost revenues consistent with PG&amp;E’s BCAP Decision 95-12-053. </w:t>
      </w:r>
    </w:p>
    <w:p>
      <w:pPr>
        <w:pStyle w:val="Heading4"/>
        <w:keepNext w:val="false"/>
        <w:keepLines w:val="false"/>
        <w:widowControl/>
        <w:suppressAutoHyphens w:val="true"/>
        <w:rPr/>
      </w:pPr>
      <w:r>
        <w:rPr/>
        <w:t>b.</w:t>
        <w:tab/>
        <w:t>PG&amp;E will continue to have BCAPs and GRCs or successor proceedings to update the allocations of costs.  The methodology for allocating the distribution revenue requirement between core and noncore will not be changed for the term of the Gas Accord, although the allocation itself may change due to, among other things, changes to throughput forecasts or marginal costs.  The allocation of revenues within the core will be addressed in future BCAPs.</w:t>
      </w:r>
    </w:p>
    <w:p>
      <w:pPr>
        <w:pStyle w:val="Heading3"/>
        <w:keepNext w:val="false"/>
        <w:keepLines w:val="false"/>
        <w:widowControl/>
        <w:suppressAutoHyphens w:val="true"/>
        <w:rPr/>
      </w:pPr>
      <w:r>
        <w:rPr/>
        <w:t>3.</w:t>
        <w:tab/>
        <w:t>Distribution Throughput</w:t>
      </w:r>
    </w:p>
    <w:p>
      <w:pPr>
        <w:pStyle w:val="Heading4"/>
        <w:keepNext w:val="false"/>
        <w:keepLines w:val="false"/>
        <w:widowControl/>
        <w:suppressAutoHyphens w:val="true"/>
        <w:rPr/>
      </w:pPr>
      <w:r>
        <w:rPr/>
        <w:t>a.</w:t>
        <w:tab/>
        <w:t xml:space="preserve">Distribution throughput for noncore end-users has been modified to reflect loads served directly from the transmission system, as well as end-users connected to the distribution system but classified as transmission customers. </w:t>
      </w:r>
    </w:p>
    <w:p>
      <w:pPr>
        <w:pStyle w:val="Heading4"/>
        <w:keepNext w:val="false"/>
        <w:keepLines w:val="false"/>
        <w:widowControl/>
        <w:suppressAutoHyphens w:val="true"/>
        <w:rPr/>
      </w:pPr>
      <w:r>
        <w:rPr/>
        <w:t>b.</w:t>
        <w:tab/>
        <w:t xml:space="preserve">Core and noncore throughput forecasts will be addressed in future BCAPs or PBRs. </w:t>
      </w:r>
    </w:p>
    <w:p>
      <w:pPr>
        <w:pStyle w:val="Heading3"/>
        <w:keepNext w:val="false"/>
        <w:keepLines w:val="false"/>
        <w:widowControl/>
        <w:suppressAutoHyphens w:val="true"/>
        <w:rPr/>
      </w:pPr>
      <w:r>
        <w:rPr/>
        <w:t>4.</w:t>
        <w:tab/>
        <w:t>Balancing Account Treatment</w:t>
      </w:r>
    </w:p>
    <w:p>
      <w:pPr>
        <w:pStyle w:val="Heading4"/>
        <w:keepNext w:val="false"/>
        <w:keepLines w:val="false"/>
        <w:widowControl/>
        <w:suppressAutoHyphens w:val="true"/>
        <w:rPr/>
      </w:pPr>
      <w:r>
        <w:rPr/>
        <w:t>a.</w:t>
        <w:tab/>
        <w:t xml:space="preserve">PG&amp;E’s core procurement department’s cost of intrastate backbone and local transmission service for the core will receive 100 percent balancing account treatment for the costs incurred, either through the Core Fixed Cost Account (CFCA) or the Purchased Gas Account (PGA). </w:t>
      </w:r>
    </w:p>
    <w:p>
      <w:pPr>
        <w:pStyle w:val="Heading4"/>
        <w:keepNext w:val="false"/>
        <w:keepLines w:val="false"/>
        <w:widowControl/>
        <w:suppressAutoHyphens w:val="true"/>
        <w:rPr/>
      </w:pPr>
      <w:r>
        <w:rPr/>
        <w:t>b.</w:t>
        <w:tab/>
        <w:t xml:space="preserve">The core distribution revenue requirement will continue to receive 100 percent balancing account treatment. </w:t>
      </w:r>
    </w:p>
    <w:p>
      <w:pPr>
        <w:pStyle w:val="Heading4"/>
        <w:keepNext w:val="false"/>
        <w:keepLines w:val="false"/>
        <w:widowControl/>
        <w:suppressAutoHyphens w:val="true"/>
        <w:rPr/>
      </w:pPr>
      <w:r>
        <w:rPr/>
        <w:t>c.</w:t>
        <w:tab/>
        <w:t xml:space="preserve">Balancing account treatment (Noncore Fixed Cost Account) for prospective noncore distribution revenues will be eliminated. </w:t>
      </w:r>
    </w:p>
    <w:p>
      <w:pPr>
        <w:pStyle w:val="Heading3"/>
        <w:keepNext w:val="false"/>
        <w:keepLines w:val="false"/>
        <w:widowControl/>
        <w:suppressAutoHyphens w:val="true"/>
        <w:rPr/>
      </w:pPr>
      <w:r>
        <w:rPr/>
        <w:t>5.</w:t>
        <w:tab/>
        <w:t>Shrinkage</w:t>
      </w:r>
    </w:p>
    <w:p>
      <w:pPr>
        <w:pStyle w:val="Heading4"/>
        <w:keepNext w:val="false"/>
        <w:keepLines w:val="false"/>
        <w:widowControl/>
        <w:suppressAutoHyphens w:val="true"/>
        <w:rPr/>
      </w:pPr>
      <w:r>
        <w:rPr/>
        <w:t>a.</w:t>
        <w:tab/>
        <w:t>Noncore customers and core transport customers will continue to deliver in-kind shrinkage.  Bundled core end-users and core subscription customers will continue to pay shrinkage as part of their procurement rate.</w:t>
      </w:r>
    </w:p>
    <w:p>
      <w:pPr>
        <w:pStyle w:val="Heading4"/>
        <w:keepNext w:val="false"/>
        <w:keepLines w:val="false"/>
        <w:widowControl/>
        <w:suppressAutoHyphens w:val="true"/>
        <w:rPr/>
      </w:pPr>
      <w:r>
        <w:rPr/>
        <w:t>b.</w:t>
        <w:tab/>
        <w:t>Shrinkage will be charged on the distribution system on a postage-stamp basis for all gas deliveries.  Distribution shrinkage is in addition to any shrinkage applied on the transmission system.</w:t>
      </w:r>
    </w:p>
    <w:p>
      <w:pPr>
        <w:pStyle w:val="Heading4"/>
        <w:keepNext w:val="false"/>
        <w:keepLines w:val="false"/>
        <w:widowControl/>
        <w:suppressAutoHyphens w:val="true"/>
        <w:rPr/>
      </w:pPr>
      <w:r>
        <w:rPr/>
        <w:t>c.</w:t>
        <w:tab/>
        <w:t>Distribution shrinkage is calculated using percentages authorized in PG&amp;E’s most recent BCAP Decision 95-12-053, as follows:  the core distribution shrinkage rate (including core transport) is 3.31 percent, and the noncore distribution shrinkage rate is 0.21 percent.  These percentages are subject to change in future BCAPs. The core shrinkage subaccount will continue as currently authorized.</w:t>
      </w:r>
    </w:p>
    <w:p>
      <w:pPr>
        <w:pStyle w:val="BodyText"/>
        <w:rPr/>
      </w:pPr>
      <w:r>
        <w:rPr/>
      </w:r>
    </w:p>
    <w:p>
      <w:pPr>
        <w:pStyle w:val="BodyText"/>
        <w:rPr/>
      </w:pPr>
      <w:r>
        <w:rPr/>
      </w:r>
    </w:p>
    <w:p>
      <w:pPr>
        <w:pStyle w:val="Heading3"/>
        <w:keepNext w:val="false"/>
        <w:keepLines w:val="false"/>
        <w:widowControl/>
        <w:suppressAutoHyphens w:val="true"/>
        <w:rPr/>
      </w:pPr>
      <w:r>
        <w:rPr/>
        <w:t>6.</w:t>
        <w:tab/>
        <w:t>Distribution Rates and Rate Design</w:t>
      </w:r>
    </w:p>
    <w:p>
      <w:pPr>
        <w:pStyle w:val="Heading4"/>
        <w:keepNext w:val="false"/>
        <w:keepLines w:val="false"/>
        <w:widowControl/>
        <w:suppressAutoHyphens w:val="true"/>
        <w:rPr/>
      </w:pPr>
      <w:r>
        <w:rPr/>
        <w:t>a.</w:t>
        <w:tab/>
        <w:t>Forecast distribution rates and illustrative intrastate bundled core transportation rates are shown in Section VI.</w:t>
      </w:r>
    </w:p>
    <w:p>
      <w:pPr>
        <w:pStyle w:val="Heading4"/>
        <w:keepNext w:val="false"/>
        <w:keepLines w:val="false"/>
        <w:widowControl/>
        <w:suppressAutoHyphens w:val="true"/>
        <w:rPr/>
      </w:pPr>
      <w:r>
        <w:rPr/>
        <w:t>b.</w:t>
        <w:tab/>
        <w:t>The initial core commercial winter distribution rate component will remain at 135 percent of the summer distribution rate component.  For core commercial customers taking bundled service from PG&amp;E, intrastate transmission costs will be allocated into the season in which they are incurred, and storage costs will be included in winter season rates only.  Commodity costs will not be included in any seasonal rate differential calculation.</w:t>
      </w:r>
    </w:p>
    <w:p>
      <w:pPr>
        <w:pStyle w:val="Heading4"/>
        <w:keepNext w:val="false"/>
        <w:keepLines w:val="false"/>
        <w:widowControl/>
        <w:suppressAutoHyphens w:val="true"/>
        <w:rPr/>
      </w:pPr>
      <w:r>
        <w:rPr/>
        <w:t>c.</w:t>
        <w:tab/>
        <w:t>The initial noncore winter distribution rate component will be 135 percent of the summer distribution rate component.</w:t>
      </w:r>
    </w:p>
    <w:p>
      <w:pPr>
        <w:pStyle w:val="Heading4"/>
        <w:keepNext w:val="false"/>
        <w:keepLines w:val="false"/>
        <w:widowControl/>
        <w:suppressAutoHyphens w:val="true"/>
        <w:rPr/>
      </w:pPr>
      <w:r>
        <w:rPr/>
        <w:t>d.</w:t>
        <w:tab/>
        <w:t>Future distribution rate design, rates, residential tier differentials, and core deaveraging, among other things, will be determined in future BCAPs.  Parties also reserve the right to propose other cost</w:t>
        <w:noBreakHyphen/>
        <w:t>based core cost allocation and rate design changes in future BCAPs.</w:t>
      </w:r>
    </w:p>
    <w:p>
      <w:pPr>
        <w:pStyle w:val="Heading3"/>
        <w:keepNext w:val="false"/>
        <w:keepLines w:val="false"/>
        <w:widowControl/>
        <w:suppressAutoHyphens w:val="true"/>
        <w:rPr/>
      </w:pPr>
      <w:r>
        <w:rPr/>
        <w:t>7.</w:t>
        <w:tab/>
        <w:t>Cogeneration Rate Parity</w:t>
      </w:r>
    </w:p>
    <w:p>
      <w:pPr>
        <w:pStyle w:val="Heading4"/>
        <w:keepNext w:val="false"/>
        <w:keepLines w:val="false"/>
        <w:widowControl/>
        <w:suppressAutoHyphens w:val="true"/>
        <w:rPr/>
      </w:pPr>
      <w:r>
        <w:rPr/>
        <w:t>a.</w:t>
        <w:tab/>
        <w:t>Consistent with the CPUC’s cogeneration rate parity policy, distribution level cogenerators will not have a distribution component in their rate.  The resulting “cogeneration shortfall” will be a part of the customer class charge, and will be collected from cogeneration and UEG end-users, for their own usage up to the authorized cogenerator gas allowance.</w:t>
      </w:r>
    </w:p>
    <w:p>
      <w:pPr>
        <w:pStyle w:val="Heading4"/>
        <w:keepNext w:val="false"/>
        <w:keepLines w:val="false"/>
        <w:widowControl/>
        <w:suppressAutoHyphens w:val="true"/>
        <w:rPr/>
      </w:pPr>
      <w:r>
        <w:rPr/>
        <w:t>b.</w:t>
        <w:tab/>
        <w:t xml:space="preserve">If the cogeneration rate parity statute is amended or repealed so that “rate parity” is no longer required by statute, and if the CPUC for whatever reason no longer requires such rate parity, then distribution level cogenerators will be served under the otherwise applicable distribution rate, and there will be no separate cogeneration class. </w:t>
      </w:r>
    </w:p>
    <w:p>
      <w:pPr>
        <w:pStyle w:val="Heading4"/>
        <w:keepNext w:val="false"/>
        <w:keepLines w:val="false"/>
        <w:widowControl/>
        <w:suppressAutoHyphens w:val="true"/>
        <w:rPr/>
      </w:pPr>
      <w:r>
        <w:rPr/>
        <w:t>c.</w:t>
        <w:tab/>
        <w:t>PG&amp;E shall be free at any time (following the amendment or repeal of the cogeneration rate parity statute so that “rate parity” is no longer required by statute) to file a superseding tariff for cogenerators with the CPUC, which filing may be the occasion for the CPUC to reevaluate the requirement for such rate parity.  Cogenerators expressly retain the right to oppose such a filing by PG&amp;E.</w:t>
      </w:r>
    </w:p>
    <w:p>
      <w:pPr>
        <w:pStyle w:val="Heading3"/>
        <w:keepNext w:val="false"/>
        <w:keepLines w:val="false"/>
        <w:widowControl/>
        <w:suppressAutoHyphens w:val="true"/>
        <w:rPr/>
      </w:pPr>
      <w:r>
        <w:rPr/>
        <w:t>8.</w:t>
        <w:tab/>
        <w:t>Discounting</w:t>
      </w:r>
    </w:p>
    <w:p>
      <w:pPr>
        <w:pStyle w:val="Heading4"/>
        <w:keepNext w:val="false"/>
        <w:keepLines w:val="false"/>
        <w:widowControl/>
        <w:suppressAutoHyphens w:val="true"/>
        <w:rPr/>
      </w:pPr>
      <w:r>
        <w:rPr/>
        <w:t>a.</w:t>
        <w:tab/>
        <w:t xml:space="preserve">Distribution service may be discounted to prevent uneconomic bypass of PG&amp;E’s distribution system and to encourage business retention and business attraction. </w:t>
      </w:r>
    </w:p>
    <w:p>
      <w:pPr>
        <w:pStyle w:val="Heading4"/>
        <w:keepNext w:val="false"/>
        <w:keepLines w:val="false"/>
        <w:widowControl/>
        <w:suppressAutoHyphens w:val="true"/>
        <w:rPr/>
      </w:pPr>
      <w:r>
        <w:rPr/>
        <w:t>b.</w:t>
        <w:tab/>
        <w:t xml:space="preserve">PG&amp;E may negotiate discounts with distribution-level noncore end-users to prevent uneconomic bypass of PG&amp;E’s distribution and transmission systems, and to encourage business retention and business attraction. </w:t>
      </w:r>
    </w:p>
    <w:p>
      <w:pPr>
        <w:pStyle w:val="Heading4"/>
        <w:keepNext w:val="false"/>
        <w:keepLines w:val="false"/>
        <w:widowControl/>
        <w:suppressAutoHyphens w:val="true"/>
        <w:rPr/>
      </w:pPr>
      <w:r>
        <w:rPr/>
        <w:t>c.</w:t>
        <w:tab/>
        <w:t>Any negotiated discounts with core end-users for distribution service will require CPUC approval prior to going into effect.</w:t>
      </w:r>
    </w:p>
    <w:p>
      <w:pPr>
        <w:pStyle w:val="Heading4"/>
        <w:keepNext w:val="false"/>
        <w:keepLines w:val="false"/>
        <w:widowControl/>
        <w:suppressAutoHyphens w:val="true"/>
        <w:rPr/>
      </w:pPr>
      <w:r>
        <w:rPr/>
        <w:t>d.</w:t>
        <w:tab/>
        <w:t>If the purpose of a noncore discount negotiation is to attract or retain both transmission and distribution load, any discount will be “split” between transmission and distribution services proportional to the revenue to each system at full tariff prices.  The noncore end-use customer would receive the transmission portion of the discount in a bill credit, or through local transmission or customer access charges.</w:t>
      </w:r>
    </w:p>
    <w:p>
      <w:pPr>
        <w:pStyle w:val="Heading4"/>
        <w:keepNext w:val="false"/>
        <w:keepLines w:val="false"/>
        <w:widowControl/>
        <w:suppressAutoHyphens w:val="true"/>
        <w:rPr/>
      </w:pPr>
      <w:r>
        <w:rPr/>
        <w:t>e.</w:t>
        <w:tab/>
        <w:t xml:space="preserve">If a negotiated distribution service benefits only the distribution system, any discount will be reflected only in distribution rates.  </w:t>
      </w:r>
    </w:p>
    <w:p>
      <w:pPr>
        <w:pStyle w:val="Heading4"/>
        <w:keepNext w:val="false"/>
        <w:keepLines w:val="false"/>
        <w:widowControl/>
        <w:suppressAutoHyphens w:val="true"/>
        <w:rPr/>
      </w:pPr>
      <w:r>
        <w:rPr/>
        <w:t>f.</w:t>
        <w:tab/>
        <w:t xml:space="preserve">PG&amp;E will have the option in BCAP proceedings of demonstrating the reasonableness of any discounted distribution contracts that will continue into the prospective period.  If the Commission finds the discounts to be reasonable, PG&amp;E will be allowed to recover the forecasted revenue shortfalls during the prospective period. </w:t>
      </w:r>
    </w:p>
    <w:p>
      <w:pPr>
        <w:pStyle w:val="Heading4"/>
        <w:keepNext w:val="false"/>
        <w:keepLines w:val="false"/>
        <w:widowControl/>
        <w:suppressAutoHyphens w:val="true"/>
        <w:rPr/>
      </w:pPr>
      <w:r>
        <w:rPr/>
        <w:t>g.</w:t>
        <w:tab/>
        <w:t>Negotiated contracts and affiliate transactions rules which will apply to transmission services will also apply to distribution services.  (See Sections II.E.15 and II.E.16.)</w:t>
      </w:r>
      <w:r>
        <w:br w:type="page"/>
      </w:r>
    </w:p>
    <w:p>
      <w:pPr>
        <w:pStyle w:val="Heading1"/>
        <w:keepNext w:val="false"/>
        <w:keepLines w:val="false"/>
        <w:widowControl/>
        <w:suppressAutoHyphens w:val="true"/>
        <w:rPr/>
      </w:pPr>
      <w:r>
        <w:rPr/>
        <w:t>IV.</w:t>
        <w:tab/>
        <w:t>PG&amp;E’S FUTURE ROLE IN CORE PROCUREMENT</w:t>
      </w:r>
    </w:p>
    <w:p>
      <w:pPr>
        <w:pStyle w:val="Heading2"/>
        <w:keepNext w:val="false"/>
        <w:keepLines w:val="false"/>
        <w:widowControl/>
        <w:suppressAutoHyphens w:val="true"/>
        <w:rPr/>
      </w:pPr>
      <w:r>
        <w:rPr/>
        <w:t>A.</w:t>
        <w:tab/>
        <w:t>Overview</w:t>
      </w:r>
    </w:p>
    <w:p>
      <w:pPr>
        <w:pStyle w:val="Normal"/>
        <w:widowControl/>
        <w:suppressAutoHyphens w:val="true"/>
        <w:spacing w:before="240" w:after="0"/>
        <w:rPr/>
      </w:pPr>
      <w:r>
        <w:rPr/>
        <w:t>PG&amp;E proposes to reduce costs to customers and to expand core customer choices by:</w:t>
      </w:r>
    </w:p>
    <w:p>
      <w:pPr>
        <w:pStyle w:val="Heading3"/>
        <w:keepNext w:val="false"/>
        <w:keepLines w:val="false"/>
        <w:widowControl/>
        <w:suppressAutoHyphens w:val="true"/>
        <w:rPr/>
      </w:pPr>
      <w:r>
        <w:rPr/>
        <w:t>1.</w:t>
        <w:tab/>
        <w:t xml:space="preserve">Encouraging greater customer choice among gas suppliers; </w:t>
      </w:r>
    </w:p>
    <w:p>
      <w:pPr>
        <w:pStyle w:val="Heading3"/>
        <w:keepNext w:val="false"/>
        <w:keepLines w:val="false"/>
        <w:widowControl/>
        <w:suppressAutoHyphens w:val="true"/>
        <w:rPr/>
      </w:pPr>
      <w:r>
        <w:rPr/>
        <w:t>2.</w:t>
        <w:tab/>
        <w:t xml:space="preserve">Reducing PG&amp;E’s regulated sales of gas to core customers; </w:t>
      </w:r>
    </w:p>
    <w:p>
      <w:pPr>
        <w:pStyle w:val="Heading3"/>
        <w:keepNext w:val="false"/>
        <w:keepLines w:val="false"/>
        <w:widowControl/>
        <w:suppressAutoHyphens w:val="true"/>
        <w:rPr/>
      </w:pPr>
      <w:r>
        <w:rPr/>
        <w:t>3.</w:t>
        <w:tab/>
        <w:t>Reducing PG&amp;E’s interstate pipeline capacity holdings for the core;</w:t>
      </w:r>
    </w:p>
    <w:p>
      <w:pPr>
        <w:pStyle w:val="Heading3"/>
        <w:keepNext w:val="false"/>
        <w:keepLines w:val="false"/>
        <w:widowControl/>
        <w:suppressAutoHyphens w:val="true"/>
        <w:rPr/>
      </w:pPr>
      <w:r>
        <w:rPr/>
        <w:t>4.</w:t>
        <w:tab/>
        <w:t xml:space="preserve">Establishing operational principles that provide market flexibility while ensuring safe and reliable service; </w:t>
      </w:r>
    </w:p>
    <w:p>
      <w:pPr>
        <w:pStyle w:val="Heading3"/>
        <w:keepNext w:val="false"/>
        <w:keepLines w:val="false"/>
        <w:widowControl/>
        <w:suppressAutoHyphens w:val="true"/>
        <w:rPr/>
      </w:pPr>
      <w:r>
        <w:rPr/>
        <w:t>5.</w:t>
        <w:tab/>
        <w:t xml:space="preserve">Implementing appropriate incentive mechanisms; and </w:t>
      </w:r>
    </w:p>
    <w:p>
      <w:pPr>
        <w:pStyle w:val="Heading3"/>
        <w:keepNext w:val="false"/>
        <w:keepLines w:val="false"/>
        <w:widowControl/>
        <w:suppressAutoHyphens w:val="true"/>
        <w:rPr/>
      </w:pPr>
      <w:r>
        <w:rPr/>
        <w:t>6.</w:t>
        <w:tab/>
        <w:t>Negotiating with California producers for a mutual release of PG&amp;E’s gas purchase contracts and reducing gas gathering costs through the disposal of assets.</w:t>
      </w:r>
    </w:p>
    <w:p>
      <w:pPr>
        <w:pStyle w:val="Heading2"/>
        <w:keepNext w:val="false"/>
        <w:keepLines w:val="false"/>
        <w:widowControl/>
        <w:suppressAutoHyphens w:val="true"/>
        <w:rPr/>
      </w:pPr>
      <w:r>
        <w:rPr/>
        <w:t>B.</w:t>
        <w:tab/>
        <w:t>Core Procurement Advisory Group</w:t>
      </w:r>
    </w:p>
    <w:p>
      <w:pPr>
        <w:pStyle w:val="Heading3"/>
        <w:keepNext w:val="false"/>
        <w:keepLines w:val="false"/>
        <w:widowControl/>
        <w:suppressAutoHyphens w:val="true"/>
        <w:rPr/>
      </w:pPr>
      <w:r>
        <w:rPr/>
        <w:t>1.</w:t>
        <w:tab/>
        <w:t>Significantly reducing PG&amp;E’s role in the core procurement market requires significant expansion of the current core gas transportation program.  This program now serves only about three percent of the core load in PG&amp;E’s service area, and well under one percent of core customers.</w:t>
      </w:r>
    </w:p>
    <w:p>
      <w:pPr>
        <w:pStyle w:val="Heading3"/>
        <w:keepNext w:val="false"/>
        <w:keepLines w:val="false"/>
        <w:widowControl/>
        <w:suppressAutoHyphens w:val="true"/>
        <w:rPr/>
      </w:pPr>
      <w:r>
        <w:rPr/>
        <w:t>2.</w:t>
        <w:tab/>
        <w:t>To determine the changes that should be made to the program, PG&amp;E invited all Gas Accord parties to participate in the Core Procurement Advisory Group (CPAG).  The focus of the CPAG was the development of recommendations that would accomplish two primary objectives:</w:t>
      </w:r>
    </w:p>
    <w:p>
      <w:pPr>
        <w:pStyle w:val="Heading4"/>
        <w:keepNext w:val="false"/>
        <w:keepLines w:val="false"/>
        <w:widowControl/>
        <w:suppressAutoHyphens w:val="true"/>
        <w:rPr/>
      </w:pPr>
      <w:r>
        <w:rPr/>
        <w:t>a.</w:t>
        <w:tab/>
        <w:t>Make the program consistent with the proposed Gas Accord framework; and</w:t>
      </w:r>
    </w:p>
    <w:p>
      <w:pPr>
        <w:pStyle w:val="Heading4"/>
        <w:keepNext w:val="false"/>
        <w:keepLines w:val="false"/>
        <w:widowControl/>
        <w:suppressAutoHyphens w:val="true"/>
        <w:rPr/>
      </w:pPr>
      <w:r>
        <w:rPr/>
        <w:t>b.</w:t>
        <w:tab/>
        <w:t>Remove barriers, from both the customers’ and aggregators’ perspectives, to increasing program participation.</w:t>
      </w:r>
    </w:p>
    <w:p>
      <w:pPr>
        <w:pStyle w:val="Heading3"/>
        <w:keepNext w:val="false"/>
        <w:keepLines w:val="false"/>
        <w:widowControl/>
        <w:suppressAutoHyphens w:val="true"/>
        <w:rPr/>
      </w:pPr>
      <w:r>
        <w:rPr/>
        <w:t>3.</w:t>
        <w:tab/>
        <w:t>Approximately 50 parties joined PG&amp;E and identified over 40 separate issues that needed to be resolved.  Two working groups were established to conduct the detailed negotiations necessary to resolve these issues and balance the widely diverse interests of the parties.</w:t>
      </w:r>
    </w:p>
    <w:p>
      <w:pPr>
        <w:pStyle w:val="Heading3"/>
        <w:keepNext w:val="false"/>
        <w:keepLines w:val="false"/>
        <w:widowControl/>
        <w:suppressAutoHyphens w:val="true"/>
        <w:rPr/>
      </w:pPr>
      <w:r>
        <w:rPr/>
        <w:t>4.</w:t>
        <w:tab/>
        <w:t>After the initial package of recommendations was developed, three new CPAG working groups were established to facilitate implementation of the CPAG recommendations:</w:t>
      </w:r>
    </w:p>
    <w:p>
      <w:pPr>
        <w:pStyle w:val="Heading4"/>
        <w:keepNext w:val="false"/>
        <w:keepLines w:val="false"/>
        <w:widowControl/>
        <w:suppressAutoHyphens w:val="true"/>
        <w:rPr/>
      </w:pPr>
      <w:r>
        <w:rPr/>
        <w:t>a.</w:t>
        <w:tab/>
      </w:r>
      <w:r>
        <w:rPr>
          <w:u w:val="single"/>
        </w:rPr>
        <w:t>Market Test</w:t>
      </w:r>
      <w:r>
        <w:rPr/>
        <w:t>:  The Market Test work group will participate in the development and performance of market research and affinity</w:t>
        <w:noBreakHyphen/>
        <w:t xml:space="preserve">group marketing field tests that are required to enhance core aggregation in PG&amp;E’s service area.  </w:t>
      </w:r>
    </w:p>
    <w:p>
      <w:pPr>
        <w:pStyle w:val="Heading4"/>
        <w:keepNext w:val="false"/>
        <w:keepLines w:val="false"/>
        <w:widowControl/>
        <w:suppressAutoHyphens w:val="true"/>
        <w:rPr/>
      </w:pPr>
      <w:r>
        <w:rPr/>
        <w:t>b.</w:t>
        <w:tab/>
      </w:r>
      <w:r>
        <w:rPr>
          <w:u w:val="single"/>
        </w:rPr>
        <w:t>Tariff Revisions</w:t>
      </w:r>
      <w:r>
        <w:rPr/>
        <w:t xml:space="preserve">:  The Tariff Revision work group will assist as PG&amp;E’s tariffs are revised to incorporate the CPAG recommendations that are ultimately approved in the Gas Accord proceeding.  </w:t>
      </w:r>
    </w:p>
    <w:p>
      <w:pPr>
        <w:pStyle w:val="Heading4"/>
        <w:keepNext w:val="false"/>
        <w:keepLines w:val="false"/>
        <w:widowControl/>
        <w:suppressAutoHyphens w:val="true"/>
        <w:rPr/>
      </w:pPr>
      <w:r>
        <w:rPr/>
        <w:t>c.</w:t>
        <w:tab/>
      </w:r>
      <w:r>
        <w:rPr>
          <w:u w:val="single"/>
        </w:rPr>
        <w:t>Load Forecast and Determination Model</w:t>
      </w:r>
      <w:r>
        <w:rPr/>
        <w:t xml:space="preserve">:  The Load Forecast and Determination Model work group will participate in the development of a model that will be used for core load balancing purposes.  </w:t>
      </w:r>
    </w:p>
    <w:p>
      <w:pPr>
        <w:pStyle w:val="Heading3"/>
        <w:keepNext w:val="false"/>
        <w:keepLines w:val="false"/>
        <w:widowControl/>
        <w:suppressAutoHyphens w:val="true"/>
        <w:rPr/>
      </w:pPr>
      <w:r>
        <w:rPr/>
        <w:t>5.</w:t>
        <w:tab/>
        <w:t>The agreements below reflect the approved package of CPAG recommendations.  The core aggregation agreements are intended to apply to PG&amp;E’s service area.  They are not intended to set precedents for any other utility service area, or for noncore service.  Additional information about the detail behind these proposals can be found in the CPAG agreement.</w:t>
      </w:r>
    </w:p>
    <w:p>
      <w:pPr>
        <w:pStyle w:val="Heading2"/>
        <w:keepNext w:val="false"/>
        <w:keepLines w:val="false"/>
        <w:widowControl/>
        <w:suppressAutoHyphens w:val="true"/>
        <w:rPr/>
      </w:pPr>
      <w:r>
        <w:rPr/>
        <w:t>C.</w:t>
        <w:tab/>
        <w:t>PG&amp;E’s And Aggregators’ Roles In The Changing Core Gas Sales Market</w:t>
      </w:r>
    </w:p>
    <w:p>
      <w:pPr>
        <w:pStyle w:val="Heading3"/>
        <w:keepNext w:val="false"/>
        <w:keepLines w:val="false"/>
        <w:widowControl/>
        <w:suppressAutoHyphens w:val="true"/>
        <w:rPr/>
      </w:pPr>
      <w:r>
        <w:rPr/>
        <w:t>1.</w:t>
        <w:tab/>
        <w:t>As part of its compliance filing following approval of the Gas Accord, PG&amp;E will file tariffs to lift the ten percent cap on PG&amp;E’s core gas aggregation program.</w:t>
      </w:r>
    </w:p>
    <w:p>
      <w:pPr>
        <w:pStyle w:val="Heading3"/>
        <w:keepNext w:val="false"/>
        <w:keepLines w:val="false"/>
        <w:widowControl/>
        <w:suppressAutoHyphens w:val="true"/>
        <w:rPr/>
      </w:pPr>
      <w:r>
        <w:rPr/>
        <w:t>2.</w:t>
        <w:tab/>
        <w:t>Aggregators have the obligation to make and pay for all necessary arrangements to deliver gas to PG&amp;E to match the use of their customers.</w:t>
      </w:r>
    </w:p>
    <w:p>
      <w:pPr>
        <w:pStyle w:val="Heading3"/>
        <w:keepNext w:val="false"/>
        <w:keepLines w:val="false"/>
        <w:widowControl/>
        <w:suppressAutoHyphens w:val="true"/>
        <w:rPr/>
      </w:pPr>
      <w:r>
        <w:rPr/>
        <w:t>3.</w:t>
        <w:tab/>
        <w:t>PG&amp;E has the obligation to operate the gas system safely and efficiently and to purchase gas supplies for customers not served by aggregators.</w:t>
      </w:r>
    </w:p>
    <w:p>
      <w:pPr>
        <w:pStyle w:val="Heading3"/>
        <w:keepNext w:val="false"/>
        <w:keepLines w:val="false"/>
        <w:widowControl/>
        <w:suppressAutoHyphens w:val="true"/>
        <w:rPr/>
      </w:pPr>
      <w:r>
        <w:rPr/>
        <w:t>4.</w:t>
        <w:tab/>
        <w:t>PG&amp;E’s remaining core gas procurement role will be as a regulated utility supplier within PG&amp;E’s service area during the Gas Accord period.</w:t>
      </w:r>
    </w:p>
    <w:p>
      <w:pPr>
        <w:pStyle w:val="Heading3"/>
        <w:keepNext w:val="false"/>
        <w:keepLines w:val="false"/>
        <w:widowControl/>
        <w:suppressAutoHyphens w:val="true"/>
        <w:rPr/>
      </w:pPr>
      <w:r>
        <w:rPr/>
        <w:t>5.</w:t>
        <w:tab/>
        <w:t>The CPAG will explore, through market research efforts, several ways to attract small and highly seasonal customers to core transportation service and to reduce transaction costs for aggregators to serve them.</w:t>
      </w:r>
    </w:p>
    <w:p>
      <w:pPr>
        <w:pStyle w:val="Heading3"/>
        <w:keepNext w:val="false"/>
        <w:keepLines w:val="false"/>
        <w:widowControl/>
        <w:suppressAutoHyphens w:val="true"/>
        <w:rPr/>
      </w:pPr>
      <w:r>
        <w:rPr/>
        <w:t>6.</w:t>
        <w:tab/>
        <w:t>PG&amp;E and the aggregators will each be responsible for dealing with their own customers’ payment problems.  The allocation of costs to serve slow- and non-paying customers will be reexamined when PG&amp;E’s core gas sales market share drops to    80 percent.</w:t>
      </w:r>
    </w:p>
    <w:p>
      <w:pPr>
        <w:pStyle w:val="Heading3"/>
        <w:keepNext w:val="false"/>
        <w:keepLines w:val="false"/>
        <w:widowControl/>
        <w:suppressAutoHyphens w:val="true"/>
        <w:rPr/>
      </w:pPr>
      <w:r>
        <w:rPr/>
        <w:t>7.</w:t>
        <w:tab/>
        <w:t>The costs of social and environmental programs such as CARE, clean air vehicles and customer energy efficiency will continue to be recovered from all on-system end-users through the customer class charge component of the transportation rates.</w:t>
      </w:r>
    </w:p>
    <w:p>
      <w:pPr>
        <w:pStyle w:val="Heading3"/>
        <w:keepNext w:val="false"/>
        <w:keepLines w:val="false"/>
        <w:widowControl/>
        <w:suppressAutoHyphens w:val="true"/>
        <w:rPr/>
      </w:pPr>
      <w:r>
        <w:rPr/>
        <w:t>8.</w:t>
        <w:tab/>
        <w:t>CARE core transportation customers will receive the full CARE benefits regardless of their choice of gas supplier.</w:t>
      </w:r>
    </w:p>
    <w:p>
      <w:pPr>
        <w:pStyle w:val="Heading2"/>
        <w:keepNext w:val="false"/>
        <w:keepLines w:val="false"/>
        <w:widowControl/>
        <w:suppressAutoHyphens w:val="true"/>
        <w:rPr/>
      </w:pPr>
      <w:r>
        <w:rPr/>
        <w:t>D.</w:t>
        <w:tab/>
        <w:t>Reducing PG&amp;E’s Interstate Pipeline Capacity</w:t>
      </w:r>
    </w:p>
    <w:p>
      <w:pPr>
        <w:pStyle w:val="Normal"/>
        <w:widowControl/>
        <w:suppressAutoHyphens w:val="true"/>
        <w:ind w:hanging="720" w:end="0"/>
        <w:rPr/>
      </w:pPr>
      <w:r>
        <w:rPr/>
      </w:r>
    </w:p>
    <w:p>
      <w:pPr>
        <w:pStyle w:val="Normal"/>
        <w:widowControl/>
        <w:suppressAutoHyphens w:val="true"/>
        <w:rPr/>
      </w:pPr>
      <w:r>
        <w:rPr/>
        <w:t xml:space="preserve">PG&amp;E will adjust its core capacity holdings of firm interstate pipeline capacity as </w:t>
        <w:tab/>
        <w:t>follows:</w:t>
      </w:r>
    </w:p>
    <w:p>
      <w:pPr>
        <w:pStyle w:val="Heading3"/>
        <w:keepNext w:val="false"/>
        <w:keepLines w:val="false"/>
        <w:widowControl/>
        <w:suppressAutoHyphens w:val="true"/>
        <w:rPr/>
      </w:pPr>
      <w:r>
        <w:rPr/>
        <w:t>1.</w:t>
        <w:tab/>
        <w:t>PG&amp;E's contract with El Paso will terminate at the end of 1997.  As part of the current El Paso general rate case (FERC Docket Nos. RP95-363-000, et al.), PG&amp;E's  termination of this contract, as well as other utility contract step-downs and the related costs, are addressed in a settlement filed with the FERC on March 15, 1996.  The parties agree that any costs paid by PG&amp;E resulting from the FERC-approved settlement will be treated as one component of the overall interstate pipeline reservation charges; and therefore, will be allocated to core and noncore customers using the allocation methodology for interstate pipeline reservation charges adopted in PG&amp;E's BCAP Decision 95-12-053.</w:t>
      </w:r>
    </w:p>
    <w:p>
      <w:pPr>
        <w:pStyle w:val="Heading3"/>
        <w:keepNext w:val="false"/>
        <w:keepLines w:val="false"/>
        <w:widowControl/>
        <w:suppressAutoHyphens w:val="true"/>
        <w:rPr/>
      </w:pPr>
      <w:r>
        <w:rPr/>
        <w:t>2.</w:t>
        <w:tab/>
        <w:t>PG&amp;E reserves the right to subscribe to additional interstate capacity in the future, with costs assigned to PG&amp;E’s core procurement customers.</w:t>
      </w:r>
    </w:p>
    <w:p>
      <w:pPr>
        <w:pStyle w:val="Heading3"/>
        <w:keepNext w:val="false"/>
        <w:keepLines w:val="false"/>
        <w:widowControl/>
        <w:suppressAutoHyphens w:val="true"/>
        <w:rPr/>
      </w:pPr>
      <w:r>
        <w:rPr/>
        <w:t>3.</w:t>
        <w:tab/>
        <w:t>Other reductions may be made by PG&amp;E (as allowed by PG&amp;E’s interstate capacity contracts) as core aggregators’ share of the core market increases.</w:t>
      </w:r>
    </w:p>
    <w:p>
      <w:pPr>
        <w:pStyle w:val="Heading2"/>
        <w:keepNext w:val="false"/>
        <w:keepLines w:val="false"/>
        <w:widowControl/>
        <w:suppressAutoHyphens w:val="true"/>
        <w:rPr/>
      </w:pPr>
      <w:r>
        <w:rPr/>
        <w:t>E.</w:t>
        <w:tab/>
        <w:t>PG&amp;E’s Core Procurement Department Intrastate Pipeline And Storage Capacity</w:t>
      </w:r>
    </w:p>
    <w:p>
      <w:pPr>
        <w:pStyle w:val="Heading3"/>
        <w:keepNext w:val="false"/>
        <w:keepLines w:val="false"/>
        <w:widowControl/>
        <w:suppressAutoHyphens w:val="true"/>
        <w:rPr/>
      </w:pPr>
      <w:r>
        <w:rPr/>
        <w:t>1.</w:t>
        <w:tab/>
        <w:t>PG&amp;E’s core procurement department will hold intrastate transportation capacity on behalf of its core and core subscription customers.  The following initial firm reservation of intrastate transportation capacity will be made for the retail core:</w:t>
      </w:r>
    </w:p>
    <w:p>
      <w:pPr>
        <w:pStyle w:val="Heading4"/>
        <w:keepNext w:val="false"/>
        <w:keepLines w:val="false"/>
        <w:widowControl/>
        <w:suppressAutoHyphens w:val="true"/>
        <w:rPr/>
      </w:pPr>
      <w:r>
        <w:rPr/>
        <w:t>a.</w:t>
        <w:tab/>
        <w:t>PG&amp;E’s retail core initially will be allocated the following quantities of firm transmission capacity:</w:t>
      </w:r>
    </w:p>
    <w:p>
      <w:pPr>
        <w:pStyle w:val="Normal"/>
        <w:widowControl/>
        <w:suppressAutoHyphens w:val="true"/>
        <w:ind w:hanging="720" w:start="2160" w:end="0"/>
        <w:rPr/>
      </w:pPr>
      <w:r>
        <w:rPr/>
        <w:t xml:space="preserve">  </w:t>
      </w:r>
      <w:r>
        <w:rPr/>
        <w:tab/>
        <w:tab/>
        <w:tab/>
        <w:t xml:space="preserve">Malin to          Topock  to </w:t>
      </w:r>
    </w:p>
    <w:p>
      <w:pPr>
        <w:pStyle w:val="Normal"/>
        <w:widowControl/>
        <w:suppressAutoHyphens w:val="true"/>
        <w:ind w:hanging="720" w:start="2160" w:end="0"/>
        <w:rPr/>
      </w:pPr>
      <w:r>
        <w:rPr/>
        <w:tab/>
        <w:tab/>
        <w:tab/>
      </w:r>
      <w:r>
        <w:rPr>
          <w:u w:val="single"/>
        </w:rPr>
        <w:t>On-system</w:t>
      </w:r>
      <w:r>
        <w:rPr/>
        <w:tab/>
      </w:r>
      <w:r>
        <w:rPr>
          <w:u w:val="single"/>
        </w:rPr>
        <w:t>On-system</w:t>
      </w:r>
      <w:r>
        <w:rPr/>
        <w:tab/>
      </w:r>
      <w:r>
        <w:rPr>
          <w:u w:val="single"/>
        </w:rPr>
        <w:t>California</w:t>
      </w:r>
    </w:p>
    <w:p>
      <w:pPr>
        <w:pStyle w:val="Normal"/>
        <w:widowControl/>
        <w:suppressAutoHyphens w:val="true"/>
        <w:ind w:hanging="720" w:start="2160" w:end="0"/>
        <w:rPr/>
      </w:pPr>
      <w:r>
        <w:rPr/>
      </w:r>
    </w:p>
    <w:p>
      <w:pPr>
        <w:pStyle w:val="Normal"/>
        <w:widowControl/>
        <w:suppressAutoHyphens w:val="true"/>
        <w:ind w:hanging="720" w:start="1440" w:end="0"/>
        <w:rPr/>
      </w:pPr>
      <w:r>
        <w:rPr/>
        <w:t xml:space="preserve">      </w:t>
      </w:r>
      <w:r>
        <w:rPr/>
        <w:t>Annual</w:t>
        <w:tab/>
        <w:t>MMcf/d</w:t>
        <w:tab/>
        <w:t xml:space="preserve">     600</w:t>
        <w:tab/>
        <w:t xml:space="preserve">                 150                  50</w:t>
      </w:r>
    </w:p>
    <w:p>
      <w:pPr>
        <w:pStyle w:val="Normal"/>
        <w:widowControl/>
        <w:suppressAutoHyphens w:val="true"/>
        <w:ind w:hanging="720" w:start="1440" w:end="0"/>
        <w:rPr/>
      </w:pPr>
      <w:r>
        <w:rPr/>
        <w:tab/>
        <w:t xml:space="preserve">        </w:t>
        <w:tab/>
        <w:t xml:space="preserve">Mdth/d </w:t>
        <w:tab/>
        <w:t xml:space="preserve">     609  </w:t>
        <w:tab/>
        <w:t xml:space="preserve">     155 </w:t>
        <w:tab/>
        <w:t xml:space="preserve">     48</w:t>
      </w:r>
    </w:p>
    <w:p>
      <w:pPr>
        <w:pStyle w:val="Normal"/>
        <w:widowControl/>
        <w:suppressAutoHyphens w:val="true"/>
        <w:ind w:hanging="720" w:start="1440" w:end="0"/>
        <w:rPr/>
      </w:pPr>
      <w:r>
        <w:rPr/>
      </w:r>
    </w:p>
    <w:p>
      <w:pPr>
        <w:pStyle w:val="Normal"/>
        <w:widowControl/>
        <w:suppressAutoHyphens w:val="true"/>
        <w:ind w:hanging="720" w:start="1440" w:end="0"/>
        <w:rPr/>
      </w:pPr>
      <w:r>
        <w:rPr/>
      </w:r>
    </w:p>
    <w:p>
      <w:pPr>
        <w:pStyle w:val="Normal"/>
        <w:widowControl/>
        <w:suppressAutoHyphens w:val="true"/>
        <w:ind w:hanging="720" w:start="1440" w:end="0"/>
        <w:rPr/>
      </w:pPr>
      <w:r>
        <w:rPr/>
      </w:r>
    </w:p>
    <w:p>
      <w:pPr>
        <w:pStyle w:val="Normal"/>
        <w:widowControl/>
        <w:suppressAutoHyphens w:val="true"/>
        <w:ind w:hanging="720" w:start="1440" w:end="0"/>
        <w:rPr/>
      </w:pPr>
      <w:r>
        <w:rPr/>
      </w:r>
    </w:p>
    <w:p>
      <w:pPr>
        <w:pStyle w:val="Normal"/>
        <w:widowControl/>
        <w:suppressAutoHyphens w:val="true"/>
        <w:ind w:hanging="720" w:start="1440" w:end="0"/>
        <w:rPr/>
      </w:pPr>
      <w:r>
        <w:rPr/>
      </w:r>
    </w:p>
    <w:p>
      <w:pPr>
        <w:pStyle w:val="Normal"/>
        <w:widowControl/>
        <w:suppressAutoHyphens w:val="true"/>
        <w:ind w:hanging="720" w:start="1440" w:end="0"/>
        <w:rPr/>
      </w:pPr>
      <w:r>
        <w:rPr/>
      </w:r>
    </w:p>
    <w:p>
      <w:pPr>
        <w:pStyle w:val="Normal"/>
        <w:widowControl/>
        <w:suppressAutoHyphens w:val="true"/>
        <w:ind w:hanging="720" w:start="1440" w:end="0"/>
        <w:rPr/>
      </w:pPr>
      <w:r>
        <w:rPr/>
      </w:r>
    </w:p>
    <w:p>
      <w:pPr>
        <w:pStyle w:val="Heading4"/>
        <w:keepNext w:val="false"/>
        <w:keepLines w:val="false"/>
        <w:widowControl/>
        <w:suppressAutoHyphens w:val="true"/>
        <w:rPr/>
      </w:pPr>
      <w:r>
        <w:rPr/>
        <w:t>b.</w:t>
        <w:tab/>
        <w:t>PG&amp;E’s retail core will also hold additional seasonal winter capacity as follows:</w:t>
      </w:r>
    </w:p>
    <w:p>
      <w:pPr>
        <w:pStyle w:val="Normal"/>
        <w:widowControl/>
        <w:rPr/>
      </w:pPr>
      <w:r>
        <w:rPr/>
      </w:r>
    </w:p>
    <w:p>
      <w:pPr>
        <w:pStyle w:val="Normal"/>
        <w:widowControl/>
        <w:suppressAutoHyphens w:val="true"/>
        <w:ind w:hanging="720" w:start="2160" w:end="0"/>
        <w:rPr/>
      </w:pPr>
      <w:r>
        <w:rPr/>
        <w:tab/>
        <w:tab/>
        <w:tab/>
        <w:t xml:space="preserve">Malin to          Topock to </w:t>
      </w:r>
    </w:p>
    <w:p>
      <w:pPr>
        <w:pStyle w:val="Normal"/>
        <w:widowControl/>
        <w:suppressAutoHyphens w:val="true"/>
        <w:ind w:hanging="720" w:start="2160" w:end="0"/>
        <w:rPr/>
      </w:pPr>
      <w:r>
        <w:rPr/>
        <w:tab/>
        <w:tab/>
        <w:tab/>
      </w:r>
      <w:r>
        <w:rPr>
          <w:u w:val="single"/>
        </w:rPr>
        <w:t>On-system</w:t>
      </w:r>
      <w:r>
        <w:rPr/>
        <w:tab/>
      </w:r>
      <w:r>
        <w:rPr>
          <w:u w:val="single"/>
        </w:rPr>
        <w:t>On-system</w:t>
      </w:r>
      <w:r>
        <w:rPr/>
        <w:tab/>
      </w:r>
      <w:r>
        <w:rPr>
          <w:u w:val="single"/>
        </w:rPr>
        <w:t>California</w:t>
      </w:r>
    </w:p>
    <w:p>
      <w:pPr>
        <w:pStyle w:val="Normal"/>
        <w:widowControl/>
        <w:suppressAutoHyphens w:val="true"/>
        <w:ind w:hanging="720" w:start="2160" w:end="0"/>
        <w:rPr/>
      </w:pPr>
      <w:r>
        <w:rPr/>
        <w:tab/>
        <w:tab/>
        <w:tab/>
      </w:r>
    </w:p>
    <w:p>
      <w:pPr>
        <w:pStyle w:val="Normal"/>
        <w:widowControl/>
        <w:suppressAutoHyphens w:val="true"/>
        <w:ind w:hanging="720" w:start="1440" w:end="0"/>
        <w:rPr/>
      </w:pPr>
      <w:r>
        <w:rPr/>
        <w:t xml:space="preserve">      </w:t>
      </w:r>
      <w:r>
        <w:rPr/>
        <w:t>November and March</w:t>
      </w:r>
    </w:p>
    <w:p>
      <w:pPr>
        <w:pStyle w:val="Normal"/>
        <w:widowControl/>
        <w:suppressAutoHyphens w:val="true"/>
        <w:ind w:hanging="720" w:start="1440" w:end="0"/>
        <w:rPr/>
      </w:pPr>
      <w:r>
        <w:rPr/>
        <w:tab/>
        <w:tab/>
        <w:t>MMcf/d</w:t>
        <w:tab/>
        <w:t xml:space="preserve">         0</w:t>
        <w:tab/>
        <w:tab/>
        <w:t xml:space="preserve">     150</w:t>
        <w:tab/>
        <w:tab/>
        <w:t xml:space="preserve">       0</w:t>
      </w:r>
    </w:p>
    <w:p>
      <w:pPr>
        <w:pStyle w:val="Normal"/>
        <w:widowControl/>
        <w:suppressAutoHyphens w:val="true"/>
        <w:ind w:hanging="720" w:start="1440" w:end="0"/>
        <w:rPr/>
      </w:pPr>
      <w:r>
        <w:rPr/>
        <w:tab/>
        <w:t xml:space="preserve">        </w:t>
        <w:tab/>
        <w:t xml:space="preserve">Mdth/d </w:t>
        <w:tab/>
        <w:t xml:space="preserve">         0  </w:t>
        <w:tab/>
        <w:t xml:space="preserve">     155 </w:t>
        <w:tab/>
        <w:t xml:space="preserve">       0</w:t>
      </w:r>
    </w:p>
    <w:p>
      <w:pPr>
        <w:pStyle w:val="Normal"/>
        <w:widowControl/>
        <w:suppressAutoHyphens w:val="true"/>
        <w:ind w:hanging="720" w:start="2160" w:end="0"/>
        <w:rPr/>
      </w:pPr>
      <w:r>
        <w:rPr/>
      </w:r>
    </w:p>
    <w:p>
      <w:pPr>
        <w:pStyle w:val="Normal"/>
        <w:widowControl/>
        <w:suppressAutoHyphens w:val="true"/>
        <w:ind w:hanging="720" w:start="1440" w:end="0"/>
        <w:rPr/>
      </w:pPr>
      <w:r>
        <w:rPr/>
        <w:t xml:space="preserve">      </w:t>
      </w:r>
      <w:r>
        <w:rPr/>
        <w:t>December to February</w:t>
        <w:tab/>
      </w:r>
    </w:p>
    <w:p>
      <w:pPr>
        <w:pStyle w:val="Normal"/>
        <w:widowControl/>
        <w:suppressAutoHyphens w:val="true"/>
        <w:ind w:hanging="720" w:start="1440" w:end="0"/>
        <w:rPr/>
      </w:pPr>
      <w:r>
        <w:rPr/>
        <w:tab/>
        <w:tab/>
        <w:t>MMcf/d</w:t>
        <w:tab/>
        <w:t xml:space="preserve">         0</w:t>
        <w:tab/>
        <w:tab/>
        <w:t xml:space="preserve">     450</w:t>
        <w:tab/>
        <w:tab/>
        <w:t xml:space="preserve">       0</w:t>
      </w:r>
    </w:p>
    <w:p>
      <w:pPr>
        <w:pStyle w:val="Normal"/>
        <w:widowControl/>
        <w:suppressAutoHyphens w:val="true"/>
        <w:ind w:hanging="720" w:start="1440" w:end="0"/>
        <w:rPr/>
      </w:pPr>
      <w:r>
        <w:rPr/>
        <w:tab/>
        <w:t xml:space="preserve">        </w:t>
        <w:tab/>
        <w:t xml:space="preserve">Mdth/d </w:t>
        <w:tab/>
        <w:t xml:space="preserve">         0  </w:t>
        <w:tab/>
        <w:t xml:space="preserve">     464 </w:t>
        <w:tab/>
        <w:t xml:space="preserve">       0</w:t>
      </w:r>
    </w:p>
    <w:p>
      <w:pPr>
        <w:pStyle w:val="Heading3"/>
        <w:keepNext w:val="false"/>
        <w:keepLines w:val="false"/>
        <w:widowControl/>
        <w:suppressAutoHyphens w:val="true"/>
        <w:rPr/>
      </w:pPr>
      <w:r>
        <w:rPr/>
        <w:t>2.</w:t>
        <w:tab/>
        <w:t>The initial firm allocation of Malin capacity for the retail core will be priced at vintaged rates.</w:t>
      </w:r>
    </w:p>
    <w:p>
      <w:pPr>
        <w:pStyle w:val="Heading3"/>
        <w:keepNext w:val="false"/>
        <w:keepLines w:val="false"/>
        <w:widowControl/>
        <w:suppressAutoHyphens w:val="true"/>
        <w:rPr/>
      </w:pPr>
      <w:r>
        <w:rPr/>
        <w:t>3.</w:t>
        <w:tab/>
        <w:t xml:space="preserve">PG&amp;E’s core procurement department will continue to be allocated firm rights to a portion of storage capacity on behalf of the core market, as specified in Section II.E.5.  The core’s storage and other costs related to maintaining the safe and reliable operation of the gas system will be included in core rates. </w:t>
      </w:r>
    </w:p>
    <w:p>
      <w:pPr>
        <w:pStyle w:val="Heading2"/>
        <w:keepNext w:val="false"/>
        <w:keepLines w:val="false"/>
        <w:widowControl/>
        <w:suppressAutoHyphens w:val="true"/>
        <w:rPr/>
      </w:pPr>
      <w:r>
        <w:rPr/>
        <w:t>F.</w:t>
        <w:tab/>
        <w:t>Core Aggregators’ Holdings Of Interstate Capacity</w:t>
      </w:r>
    </w:p>
    <w:p>
      <w:pPr>
        <w:pStyle w:val="Heading3"/>
        <w:keepNext w:val="false"/>
        <w:keepLines w:val="false"/>
        <w:widowControl/>
        <w:suppressAutoHyphens w:val="true"/>
        <w:rPr/>
      </w:pPr>
      <w:r>
        <w:rPr/>
        <w:t>1.</w:t>
        <w:tab/>
        <w:t>PG&amp;E will make two filings to unbundle interstate transmission costs from core transport rates within 30 days after a comprehensive Gas Accord agreement is signed.</w:t>
      </w:r>
    </w:p>
    <w:p>
      <w:pPr>
        <w:pStyle w:val="Heading4"/>
        <w:keepNext w:val="false"/>
        <w:keepLines w:val="false"/>
        <w:widowControl/>
        <w:rPr/>
      </w:pPr>
      <w:r>
        <w:rPr/>
        <w:t>a.</w:t>
        <w:tab/>
        <w:t>The first filing will address unbundling prior to January 1, 1998.  This filing will:</w:t>
      </w:r>
    </w:p>
    <w:p>
      <w:pPr>
        <w:pStyle w:val="Heading5"/>
        <w:keepNext w:val="false"/>
        <w:keepLines w:val="false"/>
        <w:widowControl/>
        <w:rPr/>
      </w:pPr>
      <w:r>
        <w:rPr/>
        <w:t>i.</w:t>
        <w:tab/>
        <w:t>unbundle PGT and El Paso capacity;</w:t>
      </w:r>
    </w:p>
    <w:p>
      <w:pPr>
        <w:pStyle w:val="Heading5"/>
        <w:keepNext w:val="false"/>
        <w:keepLines w:val="false"/>
        <w:widowControl/>
        <w:rPr/>
      </w:pPr>
      <w:r>
        <w:rPr/>
        <w:t>ii.</w:t>
        <w:tab/>
        <w:t>impose a surcharge on core transport rates until January 1, 1998, not to exceed $0.19/Dth, to cover any resulting transition costs;</w:t>
      </w:r>
    </w:p>
    <w:p>
      <w:pPr>
        <w:pStyle w:val="Heading5"/>
        <w:keepNext w:val="false"/>
        <w:keepLines w:val="false"/>
        <w:widowControl/>
        <w:rPr/>
      </w:pPr>
      <w:r>
        <w:rPr/>
        <w:t>iii.</w:t>
        <w:tab/>
        <w:t xml:space="preserve">continue the present treatment of ANG and NOVA costs; and </w:t>
      </w:r>
    </w:p>
    <w:p>
      <w:pPr>
        <w:pStyle w:val="Heading5"/>
        <w:keepNext w:val="false"/>
        <w:keepLines w:val="false"/>
        <w:widowControl/>
        <w:rPr/>
      </w:pPr>
      <w:r>
        <w:rPr/>
        <w:t>iv.</w:t>
        <w:tab/>
        <w:t>implement the rate credit described in Section IV.G.6.</w:t>
      </w:r>
    </w:p>
    <w:p>
      <w:pPr>
        <w:pStyle w:val="Heading4"/>
        <w:keepNext w:val="false"/>
        <w:keepLines w:val="false"/>
        <w:widowControl/>
        <w:rPr/>
      </w:pPr>
      <w:r>
        <w:rPr/>
        <w:t>b.</w:t>
        <w:tab/>
        <w:t>The second filing will address unbundling after January 1, 1998, when PG&amp;E’s   El Paso contract will expire.  This filing will:</w:t>
      </w:r>
    </w:p>
    <w:p>
      <w:pPr>
        <w:pStyle w:val="Heading5"/>
        <w:keepNext w:val="false"/>
        <w:keepLines w:val="false"/>
        <w:widowControl/>
        <w:rPr/>
      </w:pPr>
      <w:r>
        <w:rPr/>
        <w:t>i.</w:t>
        <w:tab/>
        <w:t>continue unbundling of PGT capacity; and</w:t>
      </w:r>
    </w:p>
    <w:p>
      <w:pPr>
        <w:pStyle w:val="Heading5"/>
        <w:keepNext w:val="false"/>
        <w:keepLines w:val="false"/>
        <w:widowControl/>
        <w:rPr/>
      </w:pPr>
      <w:r>
        <w:rPr/>
        <w:t>ii.</w:t>
        <w:tab/>
        <w:t>provide that, once the core transport share of PGT core capacity exceeds the point where PG&amp;E’s remaining PGT core capacity matches its upstream rights on ANG and NOVA, approximately 40 MMcf/d, core aggregators taking a share of PGT core capacity will have the right, but not the obligation, to accept a proportionate share of ANG and NOVA capacity, to the extent it is available, for additional PGT capacity reservations.</w:t>
      </w:r>
    </w:p>
    <w:p>
      <w:pPr>
        <w:pStyle w:val="Heading5"/>
        <w:keepNext w:val="false"/>
        <w:keepLines w:val="false"/>
        <w:widowControl/>
        <w:rPr/>
      </w:pPr>
      <w:r>
        <w:rPr/>
        <w:t>iii.</w:t>
        <w:tab/>
        <w:t xml:space="preserve">provide that, to the extent that core aggregators taking a share of PGT core capacity choose not to take a proportionate share of ANG and NOVA capacity, PG&amp;E will have the right to offer to assign the capacity to other shippers for one month up to the duration of PG&amp;E’s contracts with ANG and NOVA.  This may result in core aggregator’s not having access to this capacity in the future.  If PG&amp;E chooses not to make such an offer, or is not successful in finding shippers for the full amount offered, PG&amp;E will broker the capacity. </w:t>
      </w:r>
    </w:p>
    <w:p>
      <w:pPr>
        <w:pStyle w:val="Heading5"/>
        <w:keepNext w:val="false"/>
        <w:keepLines w:val="false"/>
        <w:widowControl/>
        <w:rPr/>
      </w:pPr>
      <w:r>
        <w:rPr/>
        <w:t>iv.</w:t>
        <w:tab/>
        <w:t>provide that, 50 percent of the difference between the cost of PG&amp;E’s contractual obligations for the proportionate share of ANG and NOVA capacity offered to, but not taken, by core aggregators, and the revenues collected by PG&amp;E as a result of brokering efforts for that capacity will be allocated to the transportation rates paid by PG&amp;E’s core transport customers.  PG&amp;E’s shareholders will be at risk for the remaining 50 percent.</w:t>
      </w:r>
    </w:p>
    <w:p>
      <w:pPr>
        <w:pStyle w:val="Heading3"/>
        <w:keepNext w:val="false"/>
        <w:keepLines w:val="false"/>
        <w:widowControl/>
        <w:suppressAutoHyphens w:val="true"/>
        <w:rPr/>
      </w:pPr>
      <w:r>
        <w:rPr/>
        <w:t>2.</w:t>
        <w:tab/>
        <w:t xml:space="preserve">Core aggregators will choose their own interstate pipeline capacity mix.  Each month, core aggregators will have a preferential right (but not the obligation) to acquire a portion of PG&amp;E’s interstate capacity holdings to serve their core customers. </w:t>
      </w:r>
    </w:p>
    <w:p>
      <w:pPr>
        <w:pStyle w:val="Heading3"/>
        <w:keepNext w:val="false"/>
        <w:keepLines w:val="false"/>
        <w:widowControl/>
        <w:suppressAutoHyphens w:val="true"/>
        <w:rPr/>
      </w:pPr>
      <w:r>
        <w:rPr/>
        <w:t>3.</w:t>
        <w:tab/>
        <w:t>If core aggregators choose not to acquire PG&amp;E’s firm capacity rights, or if this capacity is marketed at less than as-billed rates, unrecovered pipeline reservation fees will become a transition cost, subject to the $0.19/Dth cap in Section IV.F.1.a.ii above until January 1, 1998.</w:t>
      </w:r>
    </w:p>
    <w:p>
      <w:pPr>
        <w:pStyle w:val="Heading3"/>
        <w:keepNext w:val="false"/>
        <w:keepLines w:val="false"/>
        <w:widowControl/>
        <w:suppressAutoHyphens w:val="true"/>
        <w:rPr/>
      </w:pPr>
      <w:r>
        <w:rPr/>
        <w:t>4.</w:t>
        <w:tab/>
        <w:t>Beginning January 1, 1998, any pipeline transition costs resulting from existing PGT commitments on behalf of core transport customers will be allocated to all core customers for the term of the Gas Accord.  This provision will be reexamined if transition costs exceed $5 million per year.</w:t>
      </w:r>
    </w:p>
    <w:p>
      <w:pPr>
        <w:pStyle w:val="Heading2"/>
        <w:keepNext w:val="false"/>
        <w:keepLines w:val="false"/>
        <w:widowControl/>
        <w:suppressAutoHyphens w:val="true"/>
        <w:rPr/>
      </w:pPr>
      <w:r>
        <w:rPr/>
        <w:t>G.</w:t>
        <w:tab/>
        <w:t>Core Aggregators’ Holdings Of Intrastate Capacity and Storage</w:t>
      </w:r>
    </w:p>
    <w:p>
      <w:pPr>
        <w:pStyle w:val="Heading3"/>
        <w:keepNext w:val="false"/>
        <w:keepLines w:val="false"/>
        <w:widowControl/>
        <w:suppressAutoHyphens w:val="true"/>
        <w:rPr/>
      </w:pPr>
      <w:r>
        <w:rPr/>
        <w:t>1.</w:t>
        <w:tab/>
        <w:t xml:space="preserve">Intrastate transmission costs will be unbundled from core aggregation customers’ rates effective with the Accord. </w:t>
      </w:r>
    </w:p>
    <w:p>
      <w:pPr>
        <w:pStyle w:val="Heading3"/>
        <w:keepNext w:val="false"/>
        <w:keepLines w:val="false"/>
        <w:widowControl/>
        <w:suppressAutoHyphens w:val="true"/>
        <w:rPr/>
      </w:pPr>
      <w:r>
        <w:rPr/>
        <w:t>2.</w:t>
        <w:tab/>
        <w:t>For the initial two years of the Gas Accord, aggregators must hold firm intrastate transmission capacity rights during the winter season equal to a proportional share of PG&amp;E’s initial core reservation during the five winter months, excluding the California on-system reservation.  Thereafter, aggregators who perform reliably will have no firm requirements.</w:t>
      </w:r>
    </w:p>
    <w:p>
      <w:pPr>
        <w:pStyle w:val="Heading3"/>
        <w:keepNext w:val="false"/>
        <w:keepLines w:val="false"/>
        <w:widowControl/>
        <w:suppressAutoHyphens w:val="true"/>
        <w:rPr/>
      </w:pPr>
      <w:r>
        <w:rPr/>
        <w:t>3.</w:t>
        <w:tab/>
        <w:t>Aggregators may choose the transmission path of their reservation.  They are entitled, though not obligated, to subscribe to a proportional share of the vintage-priced Malin to on-system core reservation and/or a proportional share of the Topock to on-system reservation.</w:t>
      </w:r>
    </w:p>
    <w:p>
      <w:pPr>
        <w:pStyle w:val="Heading3"/>
        <w:keepNext w:val="false"/>
        <w:keepLines w:val="false"/>
        <w:widowControl/>
        <w:suppressAutoHyphens w:val="true"/>
        <w:rPr/>
      </w:pPr>
      <w:r>
        <w:rPr/>
        <w:t>4.</w:t>
        <w:tab/>
        <w:t>Aggregators may also use the following alternatives to meet their firm intrastate transmission requirements:</w:t>
      </w:r>
    </w:p>
    <w:p>
      <w:pPr>
        <w:pStyle w:val="Heading4"/>
        <w:keepNext w:val="false"/>
        <w:keepLines w:val="false"/>
        <w:widowControl/>
        <w:suppressAutoHyphens w:val="true"/>
        <w:rPr/>
      </w:pPr>
      <w:r>
        <w:rPr/>
        <w:t>a.</w:t>
        <w:tab/>
        <w:t>Standard agreements to use other firm holders’ rights when needed;</w:t>
      </w:r>
    </w:p>
    <w:p>
      <w:pPr>
        <w:pStyle w:val="Heading4"/>
        <w:keepNext w:val="false"/>
        <w:keepLines w:val="false"/>
        <w:widowControl/>
        <w:suppressAutoHyphens w:val="true"/>
        <w:rPr/>
      </w:pPr>
      <w:r>
        <w:rPr/>
        <w:t>b.</w:t>
        <w:tab/>
        <w:t>California gas supplies; or</w:t>
      </w:r>
    </w:p>
    <w:p>
      <w:pPr>
        <w:pStyle w:val="Heading4"/>
        <w:keepNext w:val="false"/>
        <w:keepLines w:val="false"/>
        <w:widowControl/>
        <w:suppressAutoHyphens w:val="true"/>
        <w:rPr/>
      </w:pPr>
      <w:r>
        <w:rPr/>
        <w:t>c.</w:t>
        <w:tab/>
        <w:t>Firm storage capacity in addition to their assigned capacity, if available.</w:t>
      </w:r>
    </w:p>
    <w:p>
      <w:pPr>
        <w:pStyle w:val="Heading3"/>
        <w:keepNext w:val="false"/>
        <w:keepLines w:val="false"/>
        <w:widowControl/>
        <w:suppressAutoHyphens w:val="true"/>
        <w:rPr/>
      </w:pPr>
      <w:r>
        <w:rPr/>
        <w:t>5.</w:t>
        <w:tab/>
        <w:t>Aggregators will continue to be assigned a proportional share of PG&amp;E’s core storage reservation based on the winter season throughput of the core transport customers (consistent with CPUC Decision 95</w:t>
        <w:noBreakHyphen/>
        <w:t>07</w:t>
        <w:noBreakHyphen/>
        <w:t>048), with the obligation to fill it and maintain minimum inventory levels for reliability purposes.  However, to the extent possible without compromising the reliability functions of storage for core customers, aggregators will have the right to use storage balances above each aggregator’s  minimum level described in PG&amp;E’s G-CT tariff to cure imbalances, to make same-day injection and withdrawal nominations, and to sell or trade gas in storage.</w:t>
      </w:r>
    </w:p>
    <w:p>
      <w:pPr>
        <w:pStyle w:val="Heading3"/>
        <w:keepNext w:val="false"/>
        <w:keepLines w:val="false"/>
        <w:widowControl/>
        <w:suppressAutoHyphens w:val="true"/>
        <w:rPr/>
      </w:pPr>
      <w:r>
        <w:rPr/>
        <w:t>6.</w:t>
        <w:tab/>
        <w:t xml:space="preserve">Within three years after the Gas Accord is implemented, PG&amp;E will file with the CPUC an examination of storage unbundling for core transportation customers in light of the then-existing market.  </w:t>
      </w:r>
    </w:p>
    <w:p>
      <w:pPr>
        <w:pStyle w:val="Heading3"/>
        <w:keepNext w:val="false"/>
        <w:keepLines w:val="false"/>
        <w:widowControl/>
        <w:suppressAutoHyphens w:val="true"/>
        <w:rPr/>
      </w:pPr>
      <w:r>
        <w:rPr/>
        <w:t>7.</w:t>
        <w:tab/>
        <w:t>In recognition of the fact that aggregators have settled for less service unbundling than they preferred, and to encourage participation in the core transportation program, PG&amp;E’s shareholders will fund a $0.095/Dth credit to core transport rates until January 1, 1998.</w:t>
      </w:r>
    </w:p>
    <w:p>
      <w:pPr>
        <w:pStyle w:val="Heading2"/>
        <w:keepNext w:val="false"/>
        <w:keepLines w:val="false"/>
        <w:widowControl/>
        <w:suppressAutoHyphens w:val="true"/>
        <w:rPr/>
      </w:pPr>
      <w:r>
        <w:rPr/>
        <w:t>H.</w:t>
        <w:tab/>
        <w:t>Core Aggregation Regulatory Issues</w:t>
      </w:r>
    </w:p>
    <w:p>
      <w:pPr>
        <w:pStyle w:val="Heading3"/>
        <w:keepNext w:val="false"/>
        <w:keepLines w:val="false"/>
        <w:widowControl/>
        <w:tabs>
          <w:tab w:val="clear" w:pos="720"/>
          <w:tab w:val="left" w:pos="7110" w:leader="none"/>
        </w:tabs>
        <w:suppressAutoHyphens w:val="true"/>
        <w:rPr/>
      </w:pPr>
      <w:r>
        <w:rPr/>
        <w:t>1.</w:t>
        <w:tab/>
        <w:t>The PG&amp;E core procurement brokerage fee will be set at $0.024/Dth and will be subject to balancing-account recovery.  This fee will be reviewed when PG&amp;E’s market share drops to 80 percent.</w:t>
      </w:r>
    </w:p>
    <w:p>
      <w:pPr>
        <w:pStyle w:val="Heading3"/>
        <w:keepNext w:val="false"/>
        <w:keepLines w:val="false"/>
        <w:widowControl/>
        <w:suppressAutoHyphens w:val="true"/>
        <w:rPr/>
      </w:pPr>
      <w:r>
        <w:rPr/>
        <w:t>2.</w:t>
        <w:tab/>
        <w:t>In compliance with the provisions of California Public Utilities Code Sections 6350 - 6354, PG&amp;E will continue to collect city/county franchise fees for service provided by aggregators based on its own weighted-average cost of gas (WACOG).  PG&amp;E will seek legislative changes to allow similar treatment for utility users’ taxes.</w:t>
      </w:r>
    </w:p>
    <w:p>
      <w:pPr>
        <w:pStyle w:val="Heading3"/>
        <w:keepNext w:val="false"/>
        <w:keepLines w:val="false"/>
        <w:widowControl/>
        <w:suppressAutoHyphens w:val="true"/>
        <w:rPr/>
      </w:pPr>
      <w:r>
        <w:rPr/>
        <w:t>3.</w:t>
        <w:tab/>
        <w:t>Billing and metering costs will remain bundled.  PG&amp;E will install additional metering at the request/expense of aggregators and their customers, and will provide a credit if PG&amp;E equipment can be removed as a result.</w:t>
      </w:r>
    </w:p>
    <w:p>
      <w:pPr>
        <w:pStyle w:val="Heading3"/>
        <w:keepNext w:val="false"/>
        <w:keepLines w:val="false"/>
        <w:widowControl/>
        <w:suppressAutoHyphens w:val="true"/>
        <w:rPr/>
      </w:pPr>
      <w:r>
        <w:rPr/>
        <w:t>4.</w:t>
        <w:tab/>
        <w:t>PG&amp;E will continue to oversee aggregators’ creditworthiness, pursuant to PG&amp;E’s Gas Rule 23, Gas Aggregation Service for Core Transport Customers.</w:t>
      </w:r>
    </w:p>
    <w:p>
      <w:pPr>
        <w:pStyle w:val="Heading3"/>
        <w:keepNext w:val="false"/>
        <w:keepLines w:val="false"/>
        <w:widowControl/>
        <w:suppressAutoHyphens w:val="true"/>
        <w:rPr/>
      </w:pPr>
      <w:r>
        <w:rPr/>
        <w:t>5.</w:t>
        <w:tab/>
        <w:t>Aggregators will continue to be required to sign a core transport agreement with PG&amp;E.  Aggregator-customer contracts are strictly between the parties.</w:t>
      </w:r>
    </w:p>
    <w:p>
      <w:pPr>
        <w:pStyle w:val="Heading3"/>
        <w:keepNext w:val="false"/>
        <w:keepLines w:val="false"/>
        <w:widowControl/>
        <w:suppressAutoHyphens w:val="true"/>
        <w:rPr/>
      </w:pPr>
      <w:r>
        <w:rPr/>
        <w:t>6.</w:t>
        <w:tab/>
        <w:t>Customers must sign a PG&amp;E agreement for service from an aggregator for an initial term of 12 months.  PG&amp;E will conduct market research to see if this requirement is a significant barrier to program participation.</w:t>
      </w:r>
    </w:p>
    <w:p>
      <w:pPr>
        <w:pStyle w:val="Heading3"/>
        <w:keepNext w:val="false"/>
        <w:keepLines w:val="false"/>
        <w:widowControl/>
        <w:suppressAutoHyphens w:val="true"/>
        <w:rPr/>
      </w:pPr>
      <w:r>
        <w:rPr/>
        <w:t>7.</w:t>
        <w:tab/>
        <w:t>In order to prevent slamming (unauthorized switching of a customer from one aggregator to another), written consent will continue to be required from customers who want to change their gas aggregators.</w:t>
      </w:r>
    </w:p>
    <w:p>
      <w:pPr>
        <w:pStyle w:val="Heading3"/>
        <w:keepNext w:val="false"/>
        <w:keepLines w:val="false"/>
        <w:widowControl/>
        <w:suppressAutoHyphens w:val="true"/>
        <w:rPr/>
      </w:pPr>
      <w:r>
        <w:rPr/>
        <w:t>8.</w:t>
        <w:tab/>
        <w:t>Aggregators may obtain PG&amp;E customer information required to select and serve their customers (such as balances owed and customer-service details) when authorization is given by the customer.</w:t>
      </w:r>
    </w:p>
    <w:p>
      <w:pPr>
        <w:pStyle w:val="Heading3"/>
        <w:keepNext w:val="false"/>
        <w:keepLines w:val="false"/>
        <w:widowControl/>
        <w:suppressAutoHyphens w:val="true"/>
        <w:rPr/>
      </w:pPr>
      <w:r>
        <w:rPr/>
        <w:t>9.</w:t>
        <w:tab/>
        <w:t>PG&amp;E will provide aggregators with a list of qualified gas-supply businesses owned by minorities, women, and disabled veterans that may be used when purchasing gas supplies.  PG&amp;E will also provide gas-supply businesses owned by minorities, women, and disabled veterans with a list of qualified core aggregators and other information needed to participate in PG&amp;E’s core gas transportation program.</w:t>
      </w:r>
    </w:p>
    <w:p>
      <w:pPr>
        <w:pStyle w:val="Heading3"/>
        <w:keepNext w:val="false"/>
        <w:keepLines w:val="false"/>
        <w:widowControl/>
        <w:suppressAutoHyphens w:val="true"/>
        <w:rPr/>
      </w:pPr>
      <w:r>
        <w:rPr/>
        <w:t>10.</w:t>
        <w:tab/>
        <w:t>The minimum size for a core transport group will be lowered from 250,000 therms per year to 120,000 therms per year.</w:t>
      </w:r>
    </w:p>
    <w:p>
      <w:pPr>
        <w:pStyle w:val="Heading3"/>
        <w:keepNext w:val="false"/>
        <w:keepLines w:val="false"/>
        <w:widowControl/>
        <w:suppressAutoHyphens w:val="true"/>
        <w:rPr/>
      </w:pPr>
      <w:r>
        <w:rPr/>
        <w:t>11.</w:t>
        <w:tab/>
        <w:t>After three years, PG&amp;E will file a core transport program status report with the CPUC, and PG&amp;E will hold a workshop to address any difficulties that have arisen with respect to PG&amp;E’s core gas transportation program.</w:t>
      </w:r>
    </w:p>
    <w:p>
      <w:pPr>
        <w:pStyle w:val="Heading3"/>
        <w:keepNext w:val="false"/>
        <w:keepLines w:val="false"/>
        <w:widowControl/>
        <w:suppressAutoHyphens w:val="true"/>
        <w:rPr/>
      </w:pPr>
      <w:r>
        <w:rPr/>
        <w:t>12.</w:t>
        <w:tab/>
        <w:t>The modifications for core aggregation are designed so that they do not have a significant adverse impact on PG&amp;E’s remaining core procurement customers.</w:t>
      </w:r>
    </w:p>
    <w:p>
      <w:pPr>
        <w:pStyle w:val="Heading2"/>
        <w:keepNext w:val="false"/>
        <w:keepLines w:val="false"/>
        <w:widowControl/>
        <w:suppressAutoHyphens w:val="true"/>
        <w:rPr/>
      </w:pPr>
      <w:r>
        <w:rPr/>
        <w:t>I.</w:t>
        <w:tab/>
        <w:t>Core Aggregation And Customer Information</w:t>
      </w:r>
    </w:p>
    <w:p>
      <w:pPr>
        <w:pStyle w:val="Heading3"/>
        <w:keepNext w:val="false"/>
        <w:keepLines w:val="false"/>
        <w:widowControl/>
        <w:suppressAutoHyphens w:val="true"/>
        <w:rPr/>
      </w:pPr>
      <w:r>
        <w:rPr/>
        <w:t>1.</w:t>
        <w:tab/>
        <w:t>Customers of aggregators may continue to select a consolidated payment option, where aggregators in compliance with PG&amp;E’s Gas Rule 23 creditworthiness standards collect and forward to PG&amp;E appropriate transportation revenues from their customers, as long as the payments to PG&amp;E are on time.</w:t>
      </w:r>
    </w:p>
    <w:p>
      <w:pPr>
        <w:pStyle w:val="Heading3"/>
        <w:keepNext w:val="false"/>
        <w:keepLines w:val="false"/>
        <w:widowControl/>
        <w:suppressAutoHyphens w:val="true"/>
        <w:rPr/>
      </w:pPr>
      <w:r>
        <w:rPr/>
        <w:t>2.</w:t>
        <w:tab/>
        <w:t>PG&amp;E and the aggregators will work together to develop a common Electronic Data Interface (EDI) protocol, which all aggregators will then be required to use, to streamline data and monetary transfers necessary to serve their customers.</w:t>
      </w:r>
    </w:p>
    <w:p>
      <w:pPr>
        <w:pStyle w:val="Heading3"/>
        <w:keepNext w:val="false"/>
        <w:keepLines w:val="false"/>
        <w:widowControl/>
        <w:suppressAutoHyphens w:val="true"/>
        <w:rPr/>
      </w:pPr>
      <w:r>
        <w:rPr/>
        <w:t>3.</w:t>
        <w:tab/>
        <w:t>PG&amp;E will continue to promote the core transportation program to customers through periodic bill inserts and provision of aggregator lists upon customer request.  PG&amp;E will also promote the core transportation program to its own employees through an internal education program.</w:t>
      </w:r>
    </w:p>
    <w:p>
      <w:pPr>
        <w:pStyle w:val="Heading3"/>
        <w:keepNext w:val="false"/>
        <w:keepLines w:val="false"/>
        <w:widowControl/>
        <w:suppressAutoHyphens w:val="true"/>
        <w:rPr/>
      </w:pPr>
      <w:r>
        <w:rPr/>
        <w:t>4.</w:t>
        <w:tab/>
        <w:t>PG&amp;E will conduct a market test to see if outreach efforts through affinity groups (e.g., city governments, schools, churches) are effective in increasing program knowledge and participation and reducing aggregators’ transaction costs.</w:t>
      </w:r>
    </w:p>
    <w:p>
      <w:pPr>
        <w:pStyle w:val="Heading3"/>
        <w:keepNext w:val="false"/>
        <w:keepLines w:val="false"/>
        <w:widowControl/>
        <w:suppressAutoHyphens w:val="true"/>
        <w:rPr/>
      </w:pPr>
      <w:r>
        <w:rPr/>
        <w:t>5.</w:t>
        <w:tab/>
        <w:t>PG&amp;E call centers will be equipped to handle calls about the core transportation program.</w:t>
      </w:r>
    </w:p>
    <w:p>
      <w:pPr>
        <w:pStyle w:val="Heading3"/>
        <w:keepNext w:val="false"/>
        <w:keepLines w:val="false"/>
        <w:widowControl/>
        <w:suppressAutoHyphens w:val="true"/>
        <w:rPr/>
      </w:pPr>
      <w:r>
        <w:rPr/>
        <w:t>6.</w:t>
        <w:tab/>
        <w:t>PG&amp;E will provide aggregators with a bill insert that they may use to ensure that their customers know to call PG&amp;E for service- or safety-related questions.  Aggregators will refer all such calls that they receive from their customers to PG&amp;E.</w:t>
      </w:r>
    </w:p>
    <w:p>
      <w:pPr>
        <w:pStyle w:val="Heading2"/>
        <w:keepNext w:val="false"/>
        <w:keepLines w:val="false"/>
        <w:widowControl/>
        <w:suppressAutoHyphens w:val="true"/>
        <w:rPr/>
      </w:pPr>
      <w:r>
        <w:rPr/>
        <w:t>J.</w:t>
        <w:tab/>
        <w:t>Customer Aggregation Service and Operational Issues</w:t>
      </w:r>
    </w:p>
    <w:p>
      <w:pPr>
        <w:pStyle w:val="Heading3"/>
        <w:keepNext w:val="false"/>
        <w:keepLines w:val="false"/>
        <w:widowControl/>
        <w:suppressAutoHyphens w:val="true"/>
        <w:rPr/>
      </w:pPr>
      <w:r>
        <w:rPr/>
        <w:t>1.</w:t>
        <w:tab/>
        <w:t>PG&amp;E will provide aggregators with a new Core Load Forecasting and Determination Service.  This service will feature 24- and 48-hour forecasts and day-after estimated (“determined”) use, based on each aggregator’s customer mix.</w:t>
      </w:r>
    </w:p>
    <w:p>
      <w:pPr>
        <w:pStyle w:val="Heading3"/>
        <w:keepNext w:val="false"/>
        <w:keepLines w:val="false"/>
        <w:widowControl/>
        <w:suppressAutoHyphens w:val="true"/>
        <w:rPr/>
      </w:pPr>
      <w:r>
        <w:rPr/>
        <w:t>2.</w:t>
        <w:tab/>
        <w:t xml:space="preserve">The sum of the daily determined use figures will be used to calculate monthly imbalance volumes and penalties.  </w:t>
      </w:r>
    </w:p>
    <w:p>
      <w:pPr>
        <w:pStyle w:val="Heading3"/>
        <w:keepNext w:val="false"/>
        <w:keepLines w:val="false"/>
        <w:widowControl/>
        <w:suppressAutoHyphens w:val="true"/>
        <w:rPr/>
      </w:pPr>
      <w:r>
        <w:rPr/>
        <w:t>3.</w:t>
        <w:tab/>
        <w:t>The difference between the monthly sum of the daily determined use figures and the prorated monthly metered use for each aggregator’s customers will be the “operating imbalance.”  The operating imbalance will be disposed of during the next month.  However, operating imbalances of more than 10 percent of monthly use can be disposed of over two months.</w:t>
      </w:r>
    </w:p>
    <w:p>
      <w:pPr>
        <w:pStyle w:val="Heading3"/>
        <w:keepNext w:val="false"/>
        <w:keepLines w:val="false"/>
        <w:widowControl/>
        <w:suppressAutoHyphens w:val="true"/>
        <w:rPr/>
      </w:pPr>
      <w:r>
        <w:rPr/>
        <w:t>4.</w:t>
        <w:tab/>
        <w:t>By 5:00 p.m. on the day before an Operational Flow Order or Emergency Flow Order, PG&amp;E will provide an additional forecast to aggregators for their customers’ next-day usage.  Aggregators will be required to balance against that forecast during the OFO or EFO.</w:t>
      </w:r>
    </w:p>
    <w:p>
      <w:pPr>
        <w:pStyle w:val="Heading3"/>
        <w:keepNext w:val="false"/>
        <w:keepLines w:val="false"/>
        <w:widowControl/>
        <w:suppressAutoHyphens w:val="true"/>
        <w:rPr/>
      </w:pPr>
      <w:r>
        <w:rPr/>
        <w:t>5.</w:t>
        <w:tab/>
        <w:t>When an aggregator collects PG&amp;E transportation revenue from customers under the “consolidated payment” option, PG&amp;E will hold the aggregator responsible for late payment or non-payment to PG&amp;E if the customer can demonstrate that it has paid the aggregator in full and on time.  PG&amp;E will not hold the customer responsible.</w:t>
      </w:r>
    </w:p>
    <w:p>
      <w:pPr>
        <w:pStyle w:val="Heading3"/>
        <w:keepNext w:val="false"/>
        <w:keepLines w:val="false"/>
        <w:widowControl/>
        <w:suppressAutoHyphens w:val="true"/>
        <w:rPr/>
      </w:pPr>
      <w:r>
        <w:rPr/>
        <w:t>6.</w:t>
        <w:tab/>
        <w:t>The following recommendations were made in order to provide clear, prompt, and responsive information to address customer concerns:</w:t>
      </w:r>
    </w:p>
    <w:p>
      <w:pPr>
        <w:pStyle w:val="Heading4"/>
        <w:keepNext w:val="false"/>
        <w:keepLines w:val="false"/>
        <w:widowControl/>
        <w:suppressAutoHyphens w:val="true"/>
        <w:rPr/>
      </w:pPr>
      <w:r>
        <w:rPr/>
        <w:t>a.</w:t>
        <w:tab/>
        <w:t>PG&amp;E and the aggregators will negotiate the establishment of joint communications protocols, to allow seamless call and information transfers.</w:t>
      </w:r>
    </w:p>
    <w:p>
      <w:pPr>
        <w:pStyle w:val="Heading4"/>
        <w:keepNext w:val="false"/>
        <w:keepLines w:val="false"/>
        <w:widowControl/>
        <w:suppressAutoHyphens w:val="true"/>
        <w:rPr/>
      </w:pPr>
      <w:r>
        <w:rPr/>
        <w:t>b.</w:t>
        <w:tab/>
        <w:t>PG&amp;E and the aggregators will negotiate an industry “decision tree” for screening customer inquiries, to determine the party responsible for responding to the customer.</w:t>
      </w:r>
    </w:p>
    <w:p>
      <w:pPr>
        <w:pStyle w:val="Heading2"/>
        <w:keepNext w:val="false"/>
        <w:keepLines w:val="false"/>
        <w:widowControl/>
        <w:suppressAutoHyphens w:val="true"/>
        <w:rPr/>
      </w:pPr>
      <w:r>
        <w:rPr/>
        <w:t>K.</w:t>
        <w:tab/>
        <w:t>Core Wholesale Customers</w:t>
      </w:r>
    </w:p>
    <w:p>
      <w:pPr>
        <w:pStyle w:val="Heading3"/>
        <w:keepNext w:val="false"/>
        <w:keepLines w:val="false"/>
        <w:widowControl/>
        <w:rPr/>
      </w:pPr>
      <w:r>
        <w:rPr/>
        <w:t>1.</w:t>
        <w:tab/>
        <w:t>Wholesale customers have the obligation to plan to meet their own core loads.</w:t>
      </w:r>
    </w:p>
    <w:p>
      <w:pPr>
        <w:pStyle w:val="Heading3"/>
        <w:keepNext w:val="false"/>
        <w:keepLines w:val="false"/>
        <w:widowControl/>
        <w:rPr/>
      </w:pPr>
      <w:r>
        <w:rPr/>
        <w:t>2.</w:t>
        <w:tab/>
        <w:t xml:space="preserve">Existing wholesale customers, Palo Alto and Coalinga, will have a one-time option at the implementation of the Gas Accord to subscribe, on behalf of their core customers, for up to 6.5 MMcf/d (6.6 Mdth/d) of firm capacity on the Malin to on-system path at vintaged rates. </w:t>
      </w:r>
    </w:p>
    <w:p>
      <w:pPr>
        <w:pStyle w:val="Heading3"/>
        <w:widowControl/>
        <w:rPr/>
      </w:pPr>
      <w:r>
        <w:rPr/>
        <w:t>3.</w:t>
        <w:tab/>
        <w:t>Existing wholesale customers will have the right to a share of storage capacity. They will get first priority from the storage capacity allocated to the Unbundled Storage Program, equal to their proportional share of the core load.  They must reserve inventory, injection, and withdrawal proportionately together and they will pay the equivalent core rate for storage.  Any storage cost will be added to the wholesale customer’s transportation rate.  They will have the same storage rights as other entities serving core customers and they may contract for storage through the Unbundled Storage Program to serve their noncore customers.</w:t>
      </w:r>
    </w:p>
    <w:p>
      <w:pPr>
        <w:pStyle w:val="Heading2"/>
        <w:keepNext w:val="false"/>
        <w:keepLines w:val="false"/>
        <w:widowControl/>
        <w:suppressAutoHyphens w:val="true"/>
        <w:rPr/>
      </w:pPr>
      <w:r>
        <w:rPr/>
        <w:t>L.</w:t>
        <w:tab/>
        <w:t>Procurement Incentive Mechanisms</w:t>
      </w:r>
    </w:p>
    <w:p>
      <w:pPr>
        <w:pStyle w:val="Heading3"/>
        <w:keepNext w:val="false"/>
        <w:keepLines w:val="false"/>
        <w:widowControl/>
        <w:rPr/>
      </w:pPr>
      <w:r>
        <w:rPr/>
        <w:t>1.</w:t>
        <w:tab/>
        <w:t>For the period June 1, 1994, through December 31, 1997, PG&amp;E will recover procurement and transportation costs consistent with the revised CPIM mechanism negotiated with DRA in 1996, and submitted as testimony by PG&amp;E on April 23, 1996, in Application 94-12-039.  As a result, this will resolve core procurement reasonableness for such period.  Further, as part of such testimony, PG&amp;E will forego its right to seek recovery of the reservation charges associated with the 150 MMcf/d Transwestern core reservation for the periods 1992-1997.</w:t>
      </w:r>
    </w:p>
    <w:p>
      <w:pPr>
        <w:pStyle w:val="Heading3"/>
        <w:keepNext w:val="false"/>
        <w:keepLines w:val="false"/>
        <w:widowControl/>
        <w:rPr/>
      </w:pPr>
      <w:r>
        <w:rPr/>
        <w:t>2.</w:t>
        <w:tab/>
        <w:t>A post-1997 procurement incentive mechanism will be based on the following parameters:</w:t>
      </w:r>
    </w:p>
    <w:p>
      <w:pPr>
        <w:pStyle w:val="Heading4"/>
        <w:keepNext w:val="false"/>
        <w:keepLines w:val="false"/>
        <w:widowControl/>
        <w:rPr/>
      </w:pPr>
      <w:r>
        <w:rPr/>
        <w:t>a.</w:t>
        <w:tab/>
        <w:t>The pre-1998 CPIM agreement with DRA will be used as a model for the new incentive mechanism.</w:t>
      </w:r>
    </w:p>
    <w:p>
      <w:pPr>
        <w:pStyle w:val="Heading4"/>
        <w:keepNext w:val="false"/>
        <w:keepLines w:val="false"/>
        <w:widowControl/>
        <w:rPr/>
      </w:pPr>
      <w:r>
        <w:rPr/>
        <w:t>b.</w:t>
        <w:tab/>
        <w:t>The mechanism will be modified to include intrastate core capacity use (both firm and as-available).</w:t>
      </w:r>
    </w:p>
    <w:p>
      <w:pPr>
        <w:pStyle w:val="Heading4"/>
        <w:widowControl/>
        <w:rPr/>
      </w:pPr>
      <w:r>
        <w:rPr/>
        <w:t>c.</w:t>
        <w:tab/>
        <w:t>The mechanism will be modified to allow for the opportunity to recover the cost of Transwestern reservation charges for 150 MMcf/d, as well as other Southwest interstate capacity requirements that the core may require.</w:t>
      </w:r>
    </w:p>
    <w:p>
      <w:pPr>
        <w:pStyle w:val="Heading4"/>
        <w:widowControl/>
        <w:rPr/>
      </w:pPr>
      <w:r>
        <w:rPr/>
        <w:t>d.</w:t>
        <w:tab/>
        <w:t>PG&amp;E will develop a procedure to recover the costs associated with diversion and balancing penalties in rates that may occur under extreme weather or other extraordinary circumstances.</w:t>
      </w:r>
    </w:p>
    <w:p>
      <w:pPr>
        <w:pStyle w:val="Heading4"/>
        <w:widowControl/>
        <w:rPr/>
      </w:pPr>
      <w:r>
        <w:rPr/>
        <w:t>e.</w:t>
        <w:tab/>
        <w:t>Based on the above parameters, PG&amp;E and DRA will agree on the detailed substance of their post-1997 mechanism and amend this Gas Accord Settlement filing with the CPUC.</w:t>
      </w:r>
    </w:p>
    <w:p>
      <w:pPr>
        <w:pStyle w:val="Heading2"/>
        <w:keepNext w:val="false"/>
        <w:keepLines w:val="false"/>
        <w:widowControl/>
        <w:suppressAutoHyphens w:val="true"/>
        <w:rPr/>
      </w:pPr>
      <w:r>
        <w:rPr/>
        <w:t>M.</w:t>
        <w:tab/>
        <w:t>Core Subscription</w:t>
      </w:r>
    </w:p>
    <w:p>
      <w:pPr>
        <w:pStyle w:val="Heading3"/>
        <w:keepNext w:val="false"/>
        <w:keepLines w:val="false"/>
        <w:widowControl/>
        <w:suppressAutoHyphens w:val="true"/>
        <w:rPr/>
      </w:pPr>
      <w:r>
        <w:rPr/>
        <w:t>1.</w:t>
        <w:tab/>
        <w:t>Operations</w:t>
      </w:r>
    </w:p>
    <w:p>
      <w:pPr>
        <w:pStyle w:val="Heading4"/>
        <w:keepNext w:val="false"/>
        <w:keepLines w:val="false"/>
        <w:widowControl/>
        <w:suppressAutoHyphens w:val="true"/>
        <w:rPr/>
      </w:pPr>
      <w:r>
        <w:rPr/>
        <w:t>a.</w:t>
        <w:tab/>
        <w:t>Core and core subscription customers will be served by PG&amp;E through a single supply portfolio.</w:t>
      </w:r>
    </w:p>
    <w:p>
      <w:pPr>
        <w:pStyle w:val="Heading4"/>
        <w:keepNext w:val="false"/>
        <w:keepLines w:val="false"/>
        <w:widowControl/>
        <w:suppressAutoHyphens w:val="true"/>
        <w:rPr/>
      </w:pPr>
      <w:r>
        <w:rPr/>
        <w:t>b.</w:t>
        <w:tab/>
        <w:t>Capacity reservations, nominations, and balancing will take place for the portfolio as a whole.</w:t>
      </w:r>
    </w:p>
    <w:p>
      <w:pPr>
        <w:pStyle w:val="Heading4"/>
        <w:keepNext w:val="false"/>
        <w:keepLines w:val="false"/>
        <w:widowControl/>
        <w:suppressAutoHyphens w:val="true"/>
        <w:rPr/>
      </w:pPr>
      <w:r>
        <w:rPr/>
        <w:t>c.</w:t>
        <w:tab/>
        <w:t>Core subscription customers will be assumed to use a proportional share of reserved interstate, Canadian and intrastate capacity.</w:t>
      </w:r>
    </w:p>
    <w:p>
      <w:pPr>
        <w:pStyle w:val="Heading4"/>
        <w:keepNext w:val="false"/>
        <w:keepLines w:val="false"/>
        <w:widowControl/>
        <w:suppressAutoHyphens w:val="true"/>
        <w:rPr/>
      </w:pPr>
      <w:r>
        <w:rPr/>
        <w:t>d.</w:t>
        <w:tab/>
        <w:t>Core subscription customers will be assumed to use a proportional share of the core portfolio’s flowing supplies.</w:t>
      </w:r>
    </w:p>
    <w:p>
      <w:pPr>
        <w:pStyle w:val="Heading4"/>
        <w:keepNext w:val="false"/>
        <w:keepLines w:val="false"/>
        <w:widowControl/>
        <w:suppressAutoHyphens w:val="true"/>
        <w:rPr/>
      </w:pPr>
      <w:r>
        <w:rPr/>
        <w:t>e.</w:t>
        <w:tab/>
        <w:t>Transmission service priority for core subscription customers under emergency conditions will be the same as the priority of firm intrastate transmission service.</w:t>
      </w:r>
    </w:p>
    <w:p>
      <w:pPr>
        <w:pStyle w:val="Heading3"/>
        <w:keepNext w:val="false"/>
        <w:keepLines w:val="false"/>
        <w:widowControl/>
        <w:suppressAutoHyphens w:val="true"/>
        <w:rPr/>
      </w:pPr>
      <w:r>
        <w:rPr/>
        <w:t>2.</w:t>
        <w:tab/>
        <w:t xml:space="preserve">Pricing </w:t>
      </w:r>
    </w:p>
    <w:p>
      <w:pPr>
        <w:pStyle w:val="Heading4"/>
        <w:keepNext w:val="false"/>
        <w:keepLines w:val="false"/>
        <w:widowControl/>
        <w:suppressAutoHyphens w:val="true"/>
        <w:rPr/>
      </w:pPr>
      <w:r>
        <w:rPr/>
        <w:t>a.</w:t>
        <w:tab/>
        <w:t>Core subscription rates will be volumetric.</w:t>
      </w:r>
    </w:p>
    <w:p>
      <w:pPr>
        <w:pStyle w:val="Heading4"/>
        <w:keepNext w:val="false"/>
        <w:keepLines w:val="false"/>
        <w:widowControl/>
        <w:suppressAutoHyphens w:val="true"/>
        <w:rPr/>
      </w:pPr>
      <w:r>
        <w:rPr/>
        <w:t>b.</w:t>
        <w:tab/>
        <w:t>The intrastate transmission capacity charges for core subscription will be based on the transmission rates for the noncore market.  That is, core subscription will not receive vintaged Malin to on-system prices.  Core subscription revenues above the core subscription’s proportionate share of the core portfolio’s intrastate capacity costs will be returned to core customers served from the portfolio.</w:t>
      </w:r>
    </w:p>
    <w:p>
      <w:pPr>
        <w:pStyle w:val="Heading4"/>
        <w:keepNext w:val="false"/>
        <w:keepLines w:val="false"/>
        <w:widowControl/>
        <w:suppressAutoHyphens w:val="true"/>
        <w:rPr/>
      </w:pPr>
      <w:r>
        <w:rPr/>
        <w:t>c.</w:t>
        <w:tab/>
        <w:t>The PGT capacity costs for core subscription will be set at a weighted average (based on the available capacity) of the FTS</w:t>
        <w:noBreakHyphen/>
        <w:t>1 “Noncore” and the FTS</w:t>
        <w:noBreakHyphen/>
        <w:t>1 “Expansion Shipper” reservation rates, as specified in PGT’s FERC-approved tariffs.  Core subscription revenues above the core subscription’s proportionate share of the core portfolio’s PGT capacity costs will be returned to core customers served from the portfolio.</w:t>
      </w:r>
    </w:p>
    <w:p>
      <w:pPr>
        <w:pStyle w:val="Heading4"/>
        <w:keepNext w:val="false"/>
        <w:keepLines w:val="false"/>
        <w:widowControl/>
        <w:suppressAutoHyphens w:val="true"/>
        <w:rPr/>
      </w:pPr>
      <w:r>
        <w:rPr/>
        <w:t>d.</w:t>
        <w:tab/>
        <w:t>The cost of southwest pipeline capacity for core subscription is set at its cost.</w:t>
      </w:r>
    </w:p>
    <w:p>
      <w:pPr>
        <w:pStyle w:val="Heading4"/>
        <w:keepNext w:val="false"/>
        <w:keepLines w:val="false"/>
        <w:widowControl/>
        <w:suppressAutoHyphens w:val="true"/>
        <w:rPr/>
      </w:pPr>
      <w:r>
        <w:rPr/>
        <w:t>e.</w:t>
        <w:tab/>
        <w:t xml:space="preserve">The Canadian capacity charges for core subscription will be at the as-billed rate. </w:t>
      </w:r>
    </w:p>
    <w:p>
      <w:pPr>
        <w:pStyle w:val="Heading4"/>
        <w:keepNext w:val="false"/>
        <w:keepLines w:val="false"/>
        <w:widowControl/>
        <w:suppressAutoHyphens w:val="true"/>
        <w:rPr/>
      </w:pPr>
      <w:r>
        <w:rPr/>
        <w:t>f.</w:t>
        <w:tab/>
        <w:t xml:space="preserve">There will be a surcharge on core subscription rates of $0.07/Dth beginning January 1, 1998, to fund activities associated with program phase-out.  Unspent revenues from the surcharge remaining after the core subscription program is discontinued will be returned to the core subscription customers which initially paid the surcharge.  </w:t>
      </w:r>
    </w:p>
    <w:p>
      <w:pPr>
        <w:pStyle w:val="Heading4"/>
        <w:keepNext w:val="false"/>
        <w:keepLines w:val="false"/>
        <w:widowControl/>
        <w:suppressAutoHyphens w:val="true"/>
        <w:rPr/>
      </w:pPr>
      <w:r>
        <w:rPr/>
        <w:t>g.</w:t>
        <w:tab/>
        <w:t xml:space="preserve">Each core subscription customer will be responsible for any customer-specific penalties for failing to curtail use when requested by PG&amp;E under the involuntary diversion provisions.  Core subscription customers will not be responsible for any involuntary diversion penalties incurred by the core portfolio.  </w:t>
      </w:r>
    </w:p>
    <w:p>
      <w:pPr>
        <w:pStyle w:val="Heading4"/>
        <w:keepNext w:val="false"/>
        <w:keepLines w:val="false"/>
        <w:widowControl/>
        <w:suppressAutoHyphens w:val="true"/>
        <w:rPr/>
      </w:pPr>
      <w:r>
        <w:rPr/>
        <w:t>h.</w:t>
        <w:tab/>
        <w:t>Except as just described, the core subscription rate will include core subscription’s pro rata share of all core portfolio costs.  Among other things, this includes Southwest interstate and Canadian capacity costs, as well as any imbalance charges, voluntary diversion payments, and costs or credits associated with the risk</w:t>
        <w:noBreakHyphen/>
        <w:t xml:space="preserve">sharing provisions of the core procurement incentive mechanism.  </w:t>
      </w:r>
    </w:p>
    <w:p>
      <w:pPr>
        <w:pStyle w:val="Heading4"/>
        <w:keepNext w:val="false"/>
        <w:keepLines w:val="false"/>
        <w:widowControl/>
        <w:suppressAutoHyphens w:val="true"/>
        <w:rPr/>
      </w:pPr>
      <w:r>
        <w:rPr/>
        <w:t>i.</w:t>
        <w:tab/>
        <w:t>The core subscription rate will be set monthly based on a forecast of the core portfolio costs.</w:t>
      </w:r>
    </w:p>
    <w:p>
      <w:pPr>
        <w:pStyle w:val="Heading4"/>
        <w:keepNext w:val="false"/>
        <w:keepLines w:val="false"/>
        <w:widowControl/>
        <w:suppressAutoHyphens w:val="true"/>
        <w:rPr/>
      </w:pPr>
      <w:r>
        <w:rPr/>
        <w:t>j.</w:t>
        <w:tab/>
        <w:t>The core subscription monthly commodity price will be set at the forecasted average cost of core portfolio flowing supplies (no gas out of storage), adjusted as necessary to reflect any prior months’ forecast error in the core portfolio commodity cost.</w:t>
      </w:r>
    </w:p>
    <w:p>
      <w:pPr>
        <w:pStyle w:val="Heading4"/>
        <w:keepNext w:val="false"/>
        <w:keepLines w:val="false"/>
        <w:widowControl/>
        <w:suppressAutoHyphens w:val="true"/>
        <w:rPr/>
      </w:pPr>
      <w:r>
        <w:rPr/>
        <w:t>k.</w:t>
        <w:tab/>
        <w:t>The core subscription rate will also be adjusted as necessary to reflect any prior period forecast errors associated with Canadian, interstate and intrastate capacity (net of brokering revenues).</w:t>
      </w:r>
    </w:p>
    <w:p>
      <w:pPr>
        <w:pStyle w:val="Heading4"/>
        <w:keepNext w:val="false"/>
        <w:keepLines w:val="false"/>
        <w:widowControl/>
        <w:suppressAutoHyphens w:val="true"/>
        <w:rPr/>
      </w:pPr>
      <w:r>
        <w:rPr/>
        <w:t>l.</w:t>
        <w:tab/>
        <w:t xml:space="preserve">Adopted shrinkage costs will be collected from core subscription customers.  </w:t>
      </w:r>
    </w:p>
    <w:p>
      <w:pPr>
        <w:pStyle w:val="Heading4"/>
        <w:keepNext w:val="false"/>
        <w:keepLines w:val="false"/>
        <w:widowControl/>
        <w:suppressAutoHyphens w:val="true"/>
        <w:rPr/>
      </w:pPr>
      <w:r>
        <w:rPr/>
        <w:t>m.</w:t>
        <w:tab/>
        <w:t xml:space="preserve">Balancing account treatment for core subscription commodity, interstate and Canadian capacity, and shrinkage will be eliminated prospectively.  </w:t>
      </w:r>
    </w:p>
    <w:p>
      <w:pPr>
        <w:pStyle w:val="Heading4"/>
        <w:keepNext w:val="false"/>
        <w:keepLines w:val="false"/>
        <w:widowControl/>
        <w:suppressAutoHyphens w:val="true"/>
        <w:rPr/>
      </w:pPr>
      <w:r>
        <w:rPr/>
        <w:t>n.</w:t>
        <w:tab/>
        <w:t>The core subscription rate will include a component to amortize the accrued balances from the current balancing accounts.</w:t>
      </w:r>
    </w:p>
    <w:p>
      <w:pPr>
        <w:pStyle w:val="Heading4"/>
        <w:keepNext w:val="false"/>
        <w:keepLines w:val="false"/>
        <w:widowControl/>
        <w:suppressAutoHyphens w:val="true"/>
        <w:rPr/>
      </w:pPr>
      <w:r>
        <w:rPr/>
        <w:t>o.</w:t>
        <w:tab/>
        <w:t>PG&amp;E’s noncore brokerage fee will remain at $0.0382 per decatherm, with balancing account treatment.  Balances will continue to be allocated equal cents per therm to all noncore customers.</w:t>
      </w:r>
    </w:p>
    <w:p>
      <w:pPr>
        <w:pStyle w:val="Heading3"/>
        <w:widowControl/>
        <w:rPr/>
      </w:pPr>
      <w:r>
        <w:rPr/>
        <w:t>3.</w:t>
        <w:tab/>
        <w:t>Eligibility for Core Subscription Service</w:t>
      </w:r>
    </w:p>
    <w:p>
      <w:pPr>
        <w:pStyle w:val="Normal"/>
        <w:widowControl/>
        <w:rPr/>
      </w:pPr>
      <w:r>
        <w:rPr/>
      </w:r>
    </w:p>
    <w:p>
      <w:pPr>
        <w:pStyle w:val="Normal"/>
        <w:widowControl/>
        <w:ind w:start="1080" w:end="0"/>
        <w:rPr/>
      </w:pPr>
      <w:r>
        <w:rPr/>
        <w:t>Any noncore customer on PG&amp;E’s system, excluding UEG, is eligible for core subscription service.</w:t>
      </w:r>
    </w:p>
    <w:p>
      <w:pPr>
        <w:pStyle w:val="Heading3"/>
        <w:widowControl/>
        <w:rPr/>
      </w:pPr>
      <w:r>
        <w:rPr/>
        <w:t>4.</w:t>
        <w:tab/>
        <w:t>Core Subscription Service Phaseout</w:t>
      </w:r>
    </w:p>
    <w:p>
      <w:pPr>
        <w:pStyle w:val="Heading4"/>
        <w:keepNext w:val="false"/>
        <w:keepLines w:val="false"/>
        <w:widowControl/>
        <w:suppressAutoHyphens w:val="true"/>
        <w:rPr/>
      </w:pPr>
      <w:r>
        <w:rPr/>
        <w:t>a.</w:t>
        <w:tab/>
        <w:t>Core subscription service is to expire within three years after implementation of the Gas Accord.  At that time, customers wishing to remain PG&amp;E procurement customers must elect to become core customers.</w:t>
      </w:r>
    </w:p>
    <w:p>
      <w:pPr>
        <w:pStyle w:val="Heading4"/>
        <w:keepNext w:val="false"/>
        <w:keepLines w:val="false"/>
        <w:widowControl/>
        <w:suppressAutoHyphens w:val="true"/>
        <w:rPr/>
      </w:pPr>
      <w:r>
        <w:rPr/>
        <w:t>b.</w:t>
        <w:tab/>
        <w:t>Parties may propose cost-based rate design changes in a future BCAP to mitigate the price impact on such customers who choose core status.</w:t>
      </w:r>
    </w:p>
    <w:p>
      <w:pPr>
        <w:pStyle w:val="Heading4"/>
        <w:keepNext w:val="false"/>
        <w:keepLines w:val="false"/>
        <w:widowControl/>
        <w:suppressAutoHyphens w:val="true"/>
        <w:rPr/>
      </w:pPr>
      <w:r>
        <w:rPr/>
        <w:t>c.</w:t>
        <w:tab/>
        <w:t>PG&amp;E will conduct a marketing campaign to ensure that core subscription customers are aware of the competitive procurement alternatives available to them.  The cost of the marketing campaign will be offset against the revenues from the $0.07/Dth surcharge.</w:t>
      </w:r>
    </w:p>
    <w:p>
      <w:pPr>
        <w:pStyle w:val="Heading3"/>
        <w:widowControl/>
        <w:rPr/>
      </w:pPr>
      <w:r>
        <w:rPr/>
        <w:t>5.</w:t>
        <w:tab/>
        <w:t>Contract Terms</w:t>
      </w:r>
    </w:p>
    <w:p>
      <w:pPr>
        <w:pStyle w:val="Heading4"/>
        <w:keepNext w:val="false"/>
        <w:keepLines w:val="false"/>
        <w:widowControl/>
        <w:suppressAutoHyphens w:val="true"/>
        <w:rPr/>
      </w:pPr>
      <w:r>
        <w:rPr/>
        <w:t>a.</w:t>
        <w:tab/>
        <w:t>One-year term.</w:t>
      </w:r>
    </w:p>
    <w:p>
      <w:pPr>
        <w:pStyle w:val="Heading4"/>
        <w:keepNext w:val="false"/>
        <w:keepLines w:val="false"/>
        <w:widowControl/>
        <w:suppressAutoHyphens w:val="true"/>
        <w:rPr/>
      </w:pPr>
      <w:r>
        <w:rPr/>
        <w:t>b.</w:t>
        <w:tab/>
        <w:t xml:space="preserve">Current contracts will remain in effect until their expiration on July 1, 1997, except that current core subscription customers will be allowed to change suppliers before the expirations of their current contracts. </w:t>
      </w:r>
    </w:p>
    <w:p>
      <w:pPr>
        <w:pStyle w:val="Heading3"/>
        <w:widowControl/>
        <w:rPr/>
      </w:pPr>
      <w:r>
        <w:rPr/>
        <w:t>6.</w:t>
        <w:tab/>
        <w:t xml:space="preserve">If the core subscription program participation (numbers of customers or contracted load) increases by more than ten percent (35 customers or 4 MMcf/d), the parties will confer to consider possible responses.  </w:t>
      </w:r>
    </w:p>
    <w:p>
      <w:pPr>
        <w:pStyle w:val="Heading2"/>
        <w:widowControl/>
        <w:rPr/>
      </w:pPr>
      <w:r>
        <w:rPr/>
        <w:t>N.</w:t>
        <w:tab/>
        <w:t>Changing PG&amp;E’s Role in Northern California Gas Production</w:t>
      </w:r>
    </w:p>
    <w:p>
      <w:pPr>
        <w:pStyle w:val="Heading3"/>
        <w:widowControl/>
        <w:rPr/>
      </w:pPr>
      <w:r>
        <w:rPr/>
        <w:t>1.</w:t>
        <w:tab/>
        <w:t>PG&amp;E has had a strong presence in the northern California gas production industry both as the largest purchaser of gas and the largest gas gatherer.  The Gas Accord proposes to reshape that role and seeks approval of the principles advocated here.  Many of the implementation details that underlie these changes will of necessity be part of separate proceeding(s).</w:t>
      </w:r>
    </w:p>
    <w:p>
      <w:pPr>
        <w:pStyle w:val="Normal"/>
        <w:widowControl/>
        <w:rPr/>
      </w:pPr>
      <w:r>
        <w:rPr/>
      </w:r>
    </w:p>
    <w:p>
      <w:pPr>
        <w:pStyle w:val="Normal"/>
        <w:widowControl/>
        <w:ind w:hanging="360" w:start="1080" w:end="0"/>
        <w:rPr/>
      </w:pPr>
      <w:r>
        <w:rPr/>
        <w:t>PG&amp;E and California producers intend to provide for efficient operation of the facilities used to bring California gas to market and to extend the economic life of California gas production.</w:t>
      </w:r>
    </w:p>
    <w:p>
      <w:pPr>
        <w:pStyle w:val="Heading3"/>
        <w:widowControl/>
        <w:rPr/>
      </w:pPr>
      <w:r>
        <w:rPr/>
        <w:t>2.</w:t>
        <w:tab/>
        <w:t>PG&amp;E proposes several principles that would apply to northern California gas production.  They are:</w:t>
      </w:r>
    </w:p>
    <w:p>
      <w:pPr>
        <w:pStyle w:val="Heading4"/>
        <w:keepNext w:val="false"/>
        <w:keepLines w:val="false"/>
        <w:widowControl/>
        <w:suppressAutoHyphens w:val="true"/>
        <w:rPr/>
      </w:pPr>
      <w:r>
        <w:rPr/>
        <w:t>a.</w:t>
        <w:tab/>
        <w:t>The mutual release of all California production gas procurement contracts held by PG&amp;E.</w:t>
      </w:r>
    </w:p>
    <w:p>
      <w:pPr>
        <w:pStyle w:val="Heading4"/>
        <w:keepNext w:val="false"/>
        <w:keepLines w:val="false"/>
        <w:widowControl/>
        <w:suppressAutoHyphens w:val="true"/>
        <w:rPr/>
      </w:pPr>
      <w:r>
        <w:rPr/>
        <w:t>b.</w:t>
        <w:tab/>
        <w:t>PG&amp;E will support the formation of a non-utility cooperative run and managed by an association of producers (the Cooperative) or of a utility corporation run and managed by an association of producers (the Utility) to purchase and operate the gas gathering system.  The Utility or Cooperative shall protect producer interests through an opportunity to participate in ownership and in governance; to have access to information; and to participate in profits, if any.  PG&amp;E’s support is limited to a gas gathering entity.  PG&amp;E will not seek to spin-down the gathering facilities to an unregulated affiliate.</w:t>
      </w:r>
    </w:p>
    <w:p>
      <w:pPr>
        <w:pStyle w:val="Heading4"/>
        <w:keepNext w:val="false"/>
        <w:keepLines w:val="false"/>
        <w:widowControl/>
        <w:suppressAutoHyphens w:val="true"/>
        <w:rPr/>
      </w:pPr>
      <w:r>
        <w:rPr/>
        <w:t>c.</w:t>
        <w:tab/>
        <w:t xml:space="preserve">The sale of as many of the gas gathering facilities as possible to the Cooperative or the Utility, or to individual producers who are served by those facilities.  Assets presently designated as gathering that are needed to provide safe and reliable transmission or distribution service will be retained and redesignated.  PG&amp;E will identify and connect producers on redesignated portions of the gathering system to the Utility/Cooperative gathering system(s) to assure access to market. </w:t>
      </w:r>
    </w:p>
    <w:p>
      <w:pPr>
        <w:pStyle w:val="Heading4"/>
        <w:keepNext w:val="false"/>
        <w:keepLines w:val="false"/>
        <w:widowControl/>
        <w:suppressAutoHyphens w:val="true"/>
        <w:rPr/>
      </w:pPr>
      <w:r>
        <w:rPr/>
        <w:t>d.</w:t>
        <w:tab/>
        <w:t>Should the Cooperative or the Utility not be formed or not purchase all the facilities, PG&amp;E shall divest as many facilities as possible to producers where those facilities are only used by those producers.</w:t>
      </w:r>
    </w:p>
    <w:p>
      <w:pPr>
        <w:pStyle w:val="Heading4"/>
        <w:keepNext w:val="false"/>
        <w:keepLines w:val="false"/>
        <w:widowControl/>
        <w:suppressAutoHyphens w:val="true"/>
        <w:rPr/>
      </w:pPr>
      <w:r>
        <w:rPr/>
        <w:t>e.</w:t>
        <w:tab/>
        <w:t>If gathering facilities cannot be divested at a fair market price, PG&amp;E will continue to own and maintain those facilities while recovering the ongoing costs of such facilities directly from producers that use them through a gathering charge.  The level of the gathering charges will not exceed the difference between the California path rate and the lowest noncore transmission path connected to interstate gas supplies.</w:t>
      </w:r>
    </w:p>
    <w:p>
      <w:pPr>
        <w:pStyle w:val="Heading4"/>
        <w:keepNext w:val="false"/>
        <w:keepLines w:val="false"/>
        <w:widowControl/>
        <w:suppressAutoHyphens w:val="true"/>
        <w:rPr/>
      </w:pPr>
      <w:r>
        <w:rPr/>
        <w:t>f.</w:t>
        <w:tab/>
        <w:t>Where the Utility, the Cooperative, or individual producers acquire or provide their own gathering, the California path rate will be reduced by a cost-based credit.  The cost-based credit shall be volumetric and shall be afforded to producers on a basis that reflects facilities acquired and costs avoided.</w:t>
      </w:r>
    </w:p>
    <w:p>
      <w:pPr>
        <w:pStyle w:val="Heading4"/>
        <w:keepNext w:val="false"/>
        <w:keepLines w:val="false"/>
        <w:widowControl/>
        <w:suppressAutoHyphens w:val="true"/>
        <w:rPr/>
      </w:pPr>
      <w:r>
        <w:rPr/>
        <w:t>g.</w:t>
        <w:tab/>
        <w:t xml:space="preserve">Approval of the sale of gas gathering facilities is pursuant to Section 851 of the California Public Utilities Code, on such terms and conditions as are mutually acceptable to the parties.  To the extent there is a gain-on-sale related to the disposition of gathering facilities, the gains will be shared 95 percent ratepayer and 5 percent shareholder.  To the extent there is a loss-on-sale, PG&amp;E’s shareholders will absorb 100 percent of the losses.  In determining whether or not a gain- or loss-on-sale has occurred, PG&amp;E will use a net book value based on the depreciation methodology outlined in Decision 89-12-016, the gas gathering decision.  Gains would be included in an interest bearing balancing account, reflected in rates in the appropriate rate proceeding.  Any environmental clean-up necessary for the sale will be recoverable via the Hazardous Substance Mechanism balancing account or through the appropriate mechanism as may be authorized by the Commission. </w:t>
      </w:r>
    </w:p>
    <w:p>
      <w:pPr>
        <w:pStyle w:val="Heading4"/>
        <w:keepNext w:val="false"/>
        <w:keepLines w:val="false"/>
        <w:widowControl/>
        <w:suppressAutoHyphens w:val="true"/>
        <w:rPr/>
      </w:pPr>
      <w:r>
        <w:rPr/>
        <w:t>h.</w:t>
        <w:tab/>
        <w:t>Approval and implementation of a standard California Production Balancing Agreement to meet one of PG&amp;E’s goals of improving the  efficient use of its gas transportation system by reducing delays caused by adjustments when wellhead meter data do not match scheduled volumes.  This will be effected by filing a pro forma agreement in an advice filing, subject to protest by producers.</w:t>
      </w:r>
    </w:p>
    <w:p>
      <w:pPr>
        <w:pStyle w:val="Heading4"/>
        <w:keepNext w:val="false"/>
        <w:keepLines w:val="false"/>
        <w:widowControl/>
        <w:suppressAutoHyphens w:val="true"/>
        <w:rPr/>
      </w:pPr>
      <w:r>
        <w:rPr/>
        <w:t>i.</w:t>
        <w:tab/>
        <w:t>Cooperate with the California gas producer community to develop options that will allow gas gatherers access to pipeline pressure data to maximize gathering system operational flexibility and to assist with the management of production imbalances.</w:t>
      </w:r>
    </w:p>
    <w:p>
      <w:pPr>
        <w:pStyle w:val="Heading4"/>
        <w:keepNext w:val="false"/>
        <w:keepLines w:val="false"/>
        <w:widowControl/>
        <w:suppressAutoHyphens w:val="true"/>
        <w:rPr/>
      </w:pPr>
      <w:r>
        <w:rPr/>
        <w:t>j.</w:t>
        <w:tab/>
        <w:t>Approval and implementation of a standard California Production Interconnection and Operating Agreement to apply consistent requirements whenever facilities owned by producers, by the Utility, or by the Cooperative are interconnected with PG&amp;E’s system for the purpose of gas transportation and authorization of an operations and maintenance fee, where applicable.  Both will be effected through an advice filing, subject to protest by producers.</w:t>
      </w:r>
    </w:p>
    <w:p>
      <w:pPr>
        <w:pStyle w:val="Heading4"/>
        <w:keepNext w:val="false"/>
        <w:keepLines w:val="false"/>
        <w:widowControl/>
        <w:suppressAutoHyphens w:val="true"/>
        <w:rPr/>
      </w:pPr>
      <w:r>
        <w:rPr/>
        <w:t>k.</w:t>
        <w:tab/>
        <w:t>Any California-produced gas that PG&amp;E buys outside of its existing contracts will meet the same quality standards as all other transported California-produced gas. PG&amp;E will endeavor to continue its historic practice of transporting low-Btu gas to the extent physically possible, based on historical volumes.  California produced gas that does not meet PG&amp;E’s minimum heating value requirement and/or gas quality specifications as set forth in PG&amp;E’s Rule 21 that is sold directly to end-use customers of PG&amp;E is exempt from the residual load service tariff.</w:t>
      </w:r>
    </w:p>
    <w:p>
      <w:pPr>
        <w:pStyle w:val="Heading4"/>
        <w:keepNext w:val="false"/>
        <w:keepLines w:val="false"/>
        <w:widowControl/>
        <w:suppressAutoHyphens w:val="true"/>
        <w:rPr/>
      </w:pPr>
      <w:r>
        <w:rPr/>
        <w:t>l.</w:t>
        <w:tab/>
        <w:t>Should the Utility form for the purpose of acquiring and operating the gas gathering system, PG&amp;E will support a filing for “light-handed” regulation for the Utility by the commission.  “Light-handed regulation” shall be consistent with protecting producer interests through the provision of gathering services at the lowest reasonable cost; participation in ownership; participation in governance; access to information; assurances against discrimination; and participation in profits.  PG&amp;E’s support for “light-handed” regulation is limited to a gas gathering entity.</w:t>
      </w:r>
    </w:p>
    <w:p>
      <w:pPr>
        <w:pStyle w:val="Heading3"/>
        <w:widowControl/>
        <w:rPr/>
      </w:pPr>
      <w:r>
        <w:rPr/>
        <w:t>3.</w:t>
        <w:tab/>
        <w:t>The implementation of the Gas Accord could affect the employees of PG&amp;E.  With respect to PG&amp;E’s International Brotherhood of Electrical Workers (IBEW) workforce, PG&amp;E will work with the IBEW to minimize the impact on employees.  In the event that PG&amp;E sells gas gathering facilities, as discussed above, and the sale results in the need to reduce the workforce, PG&amp;E may offer a Voluntary Severance Incentive, a Voluntary Retirement Incentive, retraining, and other employee options, subject to negotiation with the IBEW local 1245.</w:t>
      </w:r>
      <w:r>
        <w:br w:type="page"/>
      </w:r>
    </w:p>
    <w:p>
      <w:pPr>
        <w:pStyle w:val="Heading1"/>
        <w:keepNext w:val="false"/>
        <w:keepLines w:val="false"/>
        <w:widowControl/>
        <w:suppressAutoHyphens w:val="true"/>
        <w:rPr/>
      </w:pPr>
      <w:r>
        <w:rPr/>
        <w:t>V.</w:t>
        <w:tab/>
        <w:t>LITIGATION RESOLUTION</w:t>
      </w:r>
    </w:p>
    <w:p>
      <w:pPr>
        <w:pStyle w:val="Heading2"/>
        <w:keepNext w:val="false"/>
        <w:keepLines w:val="false"/>
        <w:widowControl/>
        <w:suppressAutoHyphens w:val="true"/>
        <w:rPr/>
      </w:pPr>
      <w:r>
        <w:rPr/>
        <w:t>A.</w:t>
        <w:tab/>
        <w:t>Objectives</w:t>
      </w:r>
    </w:p>
    <w:p>
      <w:pPr>
        <w:pStyle w:val="Normal"/>
        <w:widowControl/>
        <w:suppressAutoHyphens w:val="true"/>
        <w:spacing w:before="240" w:after="0"/>
        <w:ind w:start="720" w:end="0"/>
        <w:rPr/>
      </w:pPr>
      <w:r>
        <w:rPr/>
        <w:t>To resolve the outstanding proceedings relating to PG&amp;E’s natural gas operations as a means of transitioning to a restructured, more competitive gas business.  Settlement of all these cases and the outstanding issues in these cases pursuant to the provisions below is a prerequisite to implementation of the Gas Accord.</w:t>
      </w:r>
    </w:p>
    <w:p>
      <w:pPr>
        <w:pStyle w:val="Heading2"/>
        <w:keepNext w:val="false"/>
        <w:keepLines w:val="false"/>
        <w:suppressAutoHyphens w:val="true"/>
        <w:rPr/>
      </w:pPr>
      <w:r>
        <w:rPr/>
        <w:t>B.</w:t>
        <w:tab/>
        <w:t>Regulatory Cases Addressed by the Accord</w:t>
      </w:r>
    </w:p>
    <w:p>
      <w:pPr>
        <w:pStyle w:val="Heading3"/>
        <w:keepNext w:val="false"/>
        <w:keepLines w:val="false"/>
        <w:widowControl/>
        <w:rPr/>
      </w:pPr>
      <w:r>
        <w:rPr/>
        <w:t>1.</w:t>
        <w:tab/>
        <w:t xml:space="preserve">The Gas Accord settles and resolves the outstanding gas issues in the following proceedings, except as otherwise noted in this document:   </w:t>
      </w:r>
    </w:p>
    <w:p>
      <w:pPr>
        <w:pStyle w:val="Heading4"/>
        <w:widowControl/>
        <w:rPr/>
      </w:pPr>
      <w:r>
        <w:rPr/>
        <w:t>a.</w:t>
        <w:tab/>
        <w:t>PG&amp;E’s 1992 through 1995 gas reasonableness cases, Applications 93</w:t>
        <w:noBreakHyphen/>
        <w:t>04</w:t>
        <w:noBreakHyphen/>
        <w:t>011, 94</w:t>
        <w:noBreakHyphen/>
        <w:t>04</w:t>
        <w:noBreakHyphen/>
        <w:t>002, 95</w:t>
        <w:noBreakHyphen/>
        <w:t>04</w:t>
        <w:noBreakHyphen/>
        <w:t>002, and 96</w:t>
        <w:noBreakHyphen/>
        <w:t>04</w:t>
        <w:noBreakHyphen/>
        <w:t>001;</w:t>
      </w:r>
    </w:p>
    <w:p>
      <w:pPr>
        <w:pStyle w:val="Heading4"/>
        <w:keepNext w:val="false"/>
        <w:keepLines w:val="false"/>
        <w:widowControl/>
        <w:rPr/>
      </w:pPr>
      <w:r>
        <w:rPr/>
        <w:t>b.</w:t>
        <w:tab/>
        <w:t>All issues in Phases 1, 2, and 3 of the combined Pipeline Expansion Project Reasonableness/Interstate Transition Cost Surcharge proceeding, and also the alleged Rule 1 violation, covered in Applications 92</w:t>
        <w:noBreakHyphen/>
        <w:t>12</w:t>
        <w:noBreakHyphen/>
        <w:t>043, 93</w:t>
        <w:noBreakHyphen/>
        <w:t>03</w:t>
        <w:noBreakHyphen/>
        <w:t>038, 94</w:t>
        <w:noBreakHyphen/>
        <w:t>05</w:t>
        <w:noBreakHyphen/>
        <w:t>035, 94</w:t>
        <w:noBreakHyphen/>
        <w:t>06</w:t>
        <w:noBreakHyphen/>
        <w:t>034, 94</w:t>
        <w:noBreakHyphen/>
        <w:t>09</w:t>
        <w:noBreakHyphen/>
        <w:t>056, and 94</w:t>
        <w:noBreakHyphen/>
        <w:t>06</w:t>
        <w:noBreakHyphen/>
        <w:t>044;</w:t>
      </w:r>
    </w:p>
    <w:p>
      <w:pPr>
        <w:pStyle w:val="Heading4"/>
        <w:keepNext w:val="false"/>
        <w:keepLines w:val="false"/>
        <w:widowControl/>
        <w:rPr/>
      </w:pPr>
      <w:r>
        <w:rPr/>
        <w:t>c.</w:t>
        <w:tab/>
        <w:t>All issues regarding the reasonableness of noncore capacity brokering from January 1, 1996, through December 31, 1997.  (Noncore and core capacity brokering for 1993-1994 is addressed in 1.b above.  Noncore capacity brokering for 1995 is addressed in 1.a above.  Core capacity brokering practices from June 1, 1994, to December 31, 1997, are addressed through PG&amp;E’s revised CPIM);</w:t>
      </w:r>
    </w:p>
    <w:p>
      <w:pPr>
        <w:pStyle w:val="Heading4"/>
        <w:keepNext w:val="false"/>
        <w:keepLines w:val="false"/>
        <w:widowControl/>
        <w:rPr/>
      </w:pPr>
      <w:r>
        <w:rPr/>
        <w:t>d.</w:t>
        <w:tab/>
        <w:t>All issues in the Core Procurement Incentive Mechanism case, Application 94</w:t>
        <w:noBreakHyphen/>
        <w:t>12</w:t>
        <w:noBreakHyphen/>
        <w:t>039;</w:t>
      </w:r>
    </w:p>
    <w:p>
      <w:pPr>
        <w:pStyle w:val="Heading4"/>
        <w:keepNext w:val="false"/>
        <w:keepLines w:val="false"/>
        <w:widowControl/>
        <w:rPr/>
      </w:pPr>
      <w:r>
        <w:rPr/>
        <w:t>e.</w:t>
        <w:tab/>
        <w:t>The EAD shortfall issues addressed in Applications 92</w:t>
        <w:noBreakHyphen/>
        <w:t>07</w:t>
        <w:noBreakHyphen/>
        <w:t>047, 92</w:t>
        <w:noBreakHyphen/>
        <w:t>07</w:t>
        <w:noBreakHyphen/>
        <w:t>049, 95</w:t>
        <w:noBreakHyphen/>
        <w:t>02</w:t>
        <w:noBreakHyphen/>
        <w:t>008, and 95</w:t>
        <w:noBreakHyphen/>
        <w:t>02</w:t>
        <w:noBreakHyphen/>
        <w:t>010;</w:t>
      </w:r>
    </w:p>
    <w:p>
      <w:pPr>
        <w:pStyle w:val="Heading4"/>
        <w:keepNext w:val="false"/>
        <w:keepLines w:val="false"/>
        <w:widowControl/>
        <w:rPr/>
      </w:pPr>
      <w:r>
        <w:rPr/>
        <w:t>f.</w:t>
        <w:tab/>
        <w:t>Phase 2 of PG&amp;E’s BCAP Application 94</w:t>
        <w:noBreakHyphen/>
        <w:t>11</w:t>
        <w:noBreakHyphen/>
        <w:t xml:space="preserve">015; and </w:t>
      </w:r>
    </w:p>
    <w:p>
      <w:pPr>
        <w:pStyle w:val="Heading4"/>
        <w:keepNext w:val="false"/>
        <w:keepLines w:val="false"/>
        <w:widowControl/>
        <w:rPr/>
      </w:pPr>
      <w:r>
        <w:rPr/>
        <w:t>g.</w:t>
        <w:tab/>
        <w:t>All issues pertaining to the reasonableness, restructuring, and revision of PG&amp;E’s transmission, storage, and core procurement practices, rates, and services in various statewide rulemaking and investigation dockets, R.88</w:t>
        <w:noBreakHyphen/>
        <w:t>08</w:t>
        <w:noBreakHyphen/>
        <w:t>018, R.90</w:t>
        <w:noBreakHyphen/>
        <w:t>02</w:t>
        <w:noBreakHyphen/>
        <w:t>008, R.92</w:t>
        <w:noBreakHyphen/>
        <w:t>12</w:t>
        <w:noBreakHyphen/>
        <w:t>016, and I.92</w:t>
        <w:noBreakHyphen/>
        <w:t>12</w:t>
        <w:noBreakHyphen/>
        <w:t>017.</w:t>
      </w:r>
    </w:p>
    <w:p>
      <w:pPr>
        <w:pStyle w:val="Heading3"/>
        <w:keepNext w:val="false"/>
        <w:keepLines w:val="false"/>
        <w:widowControl/>
        <w:rPr/>
      </w:pPr>
      <w:r>
        <w:rPr/>
        <w:t>2.</w:t>
        <w:tab/>
        <w:t>PG&amp;E has omitted the Canadian procurement (including the effects on northwest, geothermal and QF purchases), Canadian Decontracting and Restructuring, ANG and NOVA capacity, Affiliate Investigations, CIG sequencing, UEG curtailment, and Southwest procurement (including the Satrap investigation) issues in the 1991-1994 gas reasonableness cases from the list of financial concessions.  These issues have been settled separately through May 1994, and the settlements have been filed with the CPUC.  Therefore, they are not included in the financial concessions being considered as part of the Gas Accord.</w:t>
      </w:r>
    </w:p>
    <w:p>
      <w:pPr>
        <w:pStyle w:val="Heading2"/>
        <w:keepNext w:val="false"/>
        <w:keepLines w:val="false"/>
        <w:widowControl/>
        <w:suppressAutoHyphens w:val="true"/>
        <w:rPr/>
      </w:pPr>
      <w:r>
        <w:rPr/>
        <w:t>C.</w:t>
        <w:tab/>
        <w:t>Settlement of Regulatory Cases and PG&amp;E Financial Concessions</w:t>
      </w:r>
    </w:p>
    <w:p>
      <w:pPr>
        <w:pStyle w:val="Heading3"/>
        <w:keepNext w:val="false"/>
        <w:keepLines w:val="false"/>
        <w:widowControl/>
        <w:suppressAutoHyphens w:val="true"/>
        <w:rPr/>
      </w:pPr>
      <w:r>
        <w:rPr/>
        <w:t>1.</w:t>
        <w:tab/>
      </w:r>
      <w:r>
        <w:rPr>
          <w:u w:val="single"/>
        </w:rPr>
        <w:t>Transwestern Pipeline Capacity Charges - Core 150 MMcf/d Contract</w:t>
      </w:r>
      <w:r>
        <w:rPr/>
        <w:t xml:space="preserve">  </w:t>
      </w:r>
    </w:p>
    <w:p>
      <w:pPr>
        <w:pStyle w:val="Normal"/>
        <w:widowControl/>
        <w:suppressAutoHyphens w:val="true"/>
        <w:ind w:start="1080" w:end="0"/>
        <w:rPr/>
      </w:pPr>
      <w:r>
        <w:rPr/>
        <w:t>(A.93-04-011, 94-04-002, 94-12-039, 95-04-002,  96-04-001, and PG&amp;E’s application covering reasonableness for 1996 and 1997, when filed)</w:t>
      </w:r>
    </w:p>
    <w:p>
      <w:pPr>
        <w:pStyle w:val="Normal"/>
        <w:widowControl/>
        <w:suppressAutoHyphens w:val="true"/>
        <w:ind w:start="1080" w:end="0"/>
        <w:rPr/>
      </w:pPr>
      <w:r>
        <w:rPr/>
        <w:t>PG&amp;E will not seek to recover any pipeline demand charges associated with the core portion of the Transwestern contract from the initiation of the contract through December 31, 1997, consistent with PG&amp;E’s revised CPIM submitted on April  23, 1996.  (See Section IV.L.)  For the period after 1997, PG&amp;E will recover Transwestern demand charges for the balance of the Transwestern contract term in accordance with a successor CPIM which will be implemented January 1, 1998.  Accordingly, if the Gas Accord, including PG&amp;E’s revised CPIM, is approved, PG&amp;E will withdraw any appeal of Decision 95-12-046.</w:t>
      </w:r>
    </w:p>
    <w:p>
      <w:pPr>
        <w:pStyle w:val="Heading3"/>
        <w:keepNext w:val="false"/>
        <w:keepLines w:val="false"/>
        <w:widowControl/>
        <w:suppressAutoHyphens w:val="true"/>
        <w:rPr/>
      </w:pPr>
      <w:r>
        <w:rPr/>
        <w:t>2.</w:t>
        <w:tab/>
      </w:r>
      <w:r>
        <w:rPr>
          <w:u w:val="single"/>
        </w:rPr>
        <w:t>ANG and NOVA Pipeline Capacity Charges</w:t>
      </w:r>
    </w:p>
    <w:p>
      <w:pPr>
        <w:pStyle w:val="Normal"/>
        <w:widowControl/>
        <w:suppressAutoHyphens w:val="true"/>
        <w:ind w:start="1080" w:end="0"/>
        <w:rPr/>
      </w:pPr>
      <w:r>
        <w:rPr/>
        <w:t>(A.94-12-039, 95-04-002, 96-04-001, and PG&amp;E’s application covering reasonableness for 1996 and 1997, when filed)</w:t>
      </w:r>
    </w:p>
    <w:p>
      <w:pPr>
        <w:pStyle w:val="Normal"/>
        <w:widowControl/>
        <w:suppressAutoHyphens w:val="true"/>
        <w:ind w:start="1080" w:end="0"/>
        <w:rPr/>
      </w:pPr>
      <w:r>
        <w:rPr/>
        <w:t xml:space="preserve">For the period from June 1, 1994, through December 31, 1997, PG&amp;E will recover core ANG and NOVA capacity demand charges in accordance with PG&amp;E’s revised CPIM.  (See Section IV.L.)  For the period after 1997, PG&amp;E will recover ANG and NOVA demand charges for the balance of the ANG and NOVA contract terms at full ABR in accordance with a successor CPIM which will be implemented January 1, 1998.  </w:t>
      </w:r>
    </w:p>
    <w:p>
      <w:pPr>
        <w:pStyle w:val="Heading3"/>
        <w:keepNext w:val="false"/>
        <w:keepLines w:val="false"/>
        <w:widowControl/>
        <w:suppressAutoHyphens w:val="true"/>
        <w:rPr/>
      </w:pPr>
      <w:r>
        <w:rPr/>
        <w:t>3.</w:t>
        <w:tab/>
      </w:r>
      <w:r>
        <w:rPr>
          <w:u w:val="single"/>
        </w:rPr>
        <w:t>Transwestern Pipeline Capacity -- UEG 50 MMcf/d Contract</w:t>
      </w:r>
      <w:r>
        <w:rPr/>
        <w:t xml:space="preserve"> </w:t>
      </w:r>
    </w:p>
    <w:p>
      <w:pPr>
        <w:pStyle w:val="Normal"/>
        <w:widowControl/>
        <w:suppressAutoHyphens w:val="true"/>
        <w:ind w:start="1080" w:end="0"/>
        <w:rPr/>
      </w:pPr>
      <w:r>
        <w:rPr/>
        <w:t>(A.93-04-011, 94-04-002, 95-04-002, and 96-04-001)</w:t>
      </w:r>
    </w:p>
    <w:p>
      <w:pPr>
        <w:pStyle w:val="Normal"/>
        <w:widowControl/>
        <w:ind w:start="1080" w:end="0"/>
        <w:rPr/>
      </w:pPr>
      <w:r>
        <w:rPr/>
        <w:t xml:space="preserve">PG&amp;E agrees to resolve the UEG Transwestern Capacity of 50 Mdth/d as follows: PG&amp;E will not seek to recover from ratepayers the reservation charges associated with the 50 Mdth/d of UEG Transwestern capacity incurred through July 31, 1993.  Recovery of reservation charges from August 1993 through implementation of the Power Exchange (PX) will be determined by comparing UEG’s monthly commodity and volumetric interstate transportation costs associated with UEG’s 50 Mdth/d of Transwestern capacity contract to a market benchmark based on California border indices.  The benchmark will be calculated by multiplying an average of Topock gas price indices by the volumes transported by UEG for the month on the 50 Mdth/d of Transwestern capacity.  The difference between the benchmark and the UEG commodity and the volumetric interstate transportation costs will be the amount of Transwestern reservation costs PG&amp;E will be allowed to recover.  The average border price will be determined by a simple average of 30 day Topock gas price indices from the following publications:  Gas Daily, Natural Gas Weekly and Natural Gas Intelligence Gas Price Index.  Recovery of reservation charges after implementation of the PX will not be through the proposed Competitive Transition Charge (CTC) mechanism. </w:t>
      </w:r>
    </w:p>
    <w:p>
      <w:pPr>
        <w:pStyle w:val="Normal"/>
        <w:widowControl/>
        <w:ind w:start="1080" w:end="0"/>
        <w:rPr/>
      </w:pPr>
      <w:r>
        <w:rPr/>
      </w:r>
    </w:p>
    <w:p>
      <w:pPr>
        <w:pStyle w:val="Normal"/>
        <w:widowControl/>
        <w:ind w:start="1080" w:end="0"/>
        <w:rPr/>
      </w:pPr>
      <w:r>
        <w:rPr/>
        <w:t xml:space="preserve">PG&amp;E is entitled to all revenue from brokering UEG Transwestern capacity generated through the period of the contract. </w:t>
      </w:r>
    </w:p>
    <w:p>
      <w:pPr>
        <w:pStyle w:val="Normal"/>
        <w:widowControl/>
        <w:ind w:start="1080" w:end="0"/>
        <w:rPr/>
      </w:pPr>
      <w:r>
        <w:rPr/>
      </w:r>
    </w:p>
    <w:p>
      <w:pPr>
        <w:pStyle w:val="Normal"/>
        <w:widowControl/>
        <w:ind w:start="1080" w:end="0"/>
        <w:rPr/>
      </w:pPr>
      <w:r>
        <w:rPr/>
        <w:t>For the period prior to December 31, 1995, PG&amp;E would recover $3.7 million of its total Transwestern capacity costs plus brokering revenues.  The appropriate adjustments will be made to PG&amp;E’s ECAC balancing account to reflect this agreement.  It is further agreed that this agreement will set no precedent for the treatment of other capacity reservations that the UEG may incur from time to time.</w:t>
      </w:r>
    </w:p>
    <w:p>
      <w:pPr>
        <w:pStyle w:val="Heading3"/>
        <w:keepNext w:val="false"/>
        <w:keepLines w:val="false"/>
        <w:widowControl/>
        <w:suppressAutoHyphens w:val="true"/>
        <w:rPr/>
      </w:pPr>
      <w:r>
        <w:rPr/>
        <w:t>4.</w:t>
        <w:tab/>
      </w:r>
      <w:r>
        <w:rPr>
          <w:u w:val="single"/>
        </w:rPr>
        <w:t>Pipeline Expansion Project Reasonableness (PEPR)/Interstate Transition Cost Surcharge (ITCS) Proceeding</w:t>
      </w:r>
    </w:p>
    <w:p>
      <w:pPr>
        <w:pStyle w:val="Normal"/>
        <w:widowControl/>
        <w:suppressAutoHyphens w:val="true"/>
        <w:ind w:start="1080" w:end="0"/>
        <w:rPr/>
      </w:pPr>
      <w:r>
        <w:rPr/>
        <w:t>(A.92-12-043, 93-03-038, 94-05-035, 94-06-034,  94-09-056, 94-06-044, and         96-04-001)</w:t>
      </w:r>
    </w:p>
    <w:p>
      <w:pPr>
        <w:pStyle w:val="Normal"/>
        <w:widowControl/>
        <w:suppressAutoHyphens w:val="true"/>
        <w:ind w:start="1080" w:end="0"/>
        <w:rPr/>
      </w:pPr>
      <w:r>
        <w:rPr/>
        <w:t>Implementation of the terms and agreements of the Gas Accord, as proposed, settles all  contested issues associated with Phases 1, 2, and 3, of the PEPR/ITCS case, and also Rule 1 allegations.</w:t>
      </w:r>
    </w:p>
    <w:p>
      <w:pPr>
        <w:pStyle w:val="Heading4"/>
        <w:keepNext w:val="false"/>
        <w:keepLines w:val="false"/>
        <w:widowControl/>
        <w:suppressAutoHyphens w:val="true"/>
        <w:rPr/>
      </w:pPr>
      <w:r>
        <w:rPr/>
        <w:t>a.</w:t>
        <w:tab/>
      </w:r>
      <w:r>
        <w:rPr>
          <w:u w:val="single"/>
        </w:rPr>
        <w:t>ITCS Account (Core portion)</w:t>
      </w:r>
    </w:p>
    <w:p>
      <w:pPr>
        <w:pStyle w:val="BodyText"/>
        <w:suppressAutoHyphens w:val="true"/>
        <w:spacing w:lineRule="auto" w:line="240"/>
        <w:ind w:hanging="0" w:start="1440" w:end="0"/>
        <w:rPr/>
      </w:pPr>
      <w:r>
        <w:rPr/>
        <w:t>PG&amp;E will absorb 100 percent of the core portion of ITCS charges as currently defined, less brokering revenues, plus interest, from the inception of the ITCS account.  Any ITCS costs that were recovered in rates from the core will be returned to the core.  Consequently:</w:t>
      </w:r>
    </w:p>
    <w:p>
      <w:pPr>
        <w:pStyle w:val="Heading5"/>
        <w:keepNext w:val="false"/>
        <w:keepLines w:val="false"/>
        <w:widowControl/>
        <w:suppressAutoHyphens w:val="true"/>
        <w:rPr/>
      </w:pPr>
      <w:r>
        <w:rPr/>
        <w:t>i.</w:t>
        <w:tab/>
        <w:t>PG&amp;E will not be responsible for any proposed additional Northern California ITCS costs or other penalties or remedies alleged in the PEPR/ITCS proceeding for the period addressed in such proceeding or subsequent periods; and</w:t>
      </w:r>
    </w:p>
    <w:p>
      <w:pPr>
        <w:pStyle w:val="Heading5"/>
        <w:keepNext w:val="false"/>
        <w:keepLines w:val="false"/>
        <w:widowControl/>
        <w:suppressAutoHyphens w:val="true"/>
        <w:rPr/>
      </w:pPr>
      <w:r>
        <w:rPr/>
        <w:t>ii.</w:t>
        <w:tab/>
        <w:t>No other ITCS, capacity assignments, revenue requirements, or similar “stranded costs” or penalties should be shifted to Northern California ratepayers or PG&amp;E shareholders from Southern California, as alleged in the PEPR/ITCS proceeding, the SoCalGas BCAP (Application 96-03-031), and other proceedings.</w:t>
      </w:r>
    </w:p>
    <w:p>
      <w:pPr>
        <w:pStyle w:val="Heading4"/>
        <w:keepNext w:val="false"/>
        <w:keepLines w:val="false"/>
        <w:widowControl/>
        <w:suppressAutoHyphens w:val="true"/>
        <w:rPr/>
      </w:pPr>
      <w:r>
        <w:rPr/>
        <w:t>b.</w:t>
        <w:tab/>
      </w:r>
      <w:r>
        <w:rPr>
          <w:u w:val="single"/>
        </w:rPr>
        <w:t>ITCS Account (Noncore portion)</w:t>
      </w:r>
    </w:p>
    <w:p>
      <w:pPr>
        <w:pStyle w:val="BodyText"/>
        <w:suppressAutoHyphens w:val="true"/>
        <w:spacing w:lineRule="auto" w:line="240"/>
        <w:ind w:hanging="0" w:start="1440" w:end="0"/>
        <w:rPr/>
      </w:pPr>
      <w:r>
        <w:rPr/>
        <w:t>PG&amp;E will absorb 50 percent of the noncore portion of ITCS charges as currently defined, less brokering revenues, plus interest, from the inception of the ITCS account.  PG&amp;E’s liability is limited to 50 percent, and therefore, includes any rate reduction approved by the CPUC in response to Advice Letter 1952-G</w:t>
      </w:r>
    </w:p>
    <w:p>
      <w:pPr>
        <w:pStyle w:val="BodyText"/>
        <w:suppressAutoHyphens w:val="true"/>
        <w:spacing w:lineRule="auto" w:line="240"/>
        <w:ind w:hanging="0" w:start="1440" w:end="0"/>
        <w:rPr/>
      </w:pPr>
      <w:r>
        <w:rPr/>
      </w:r>
    </w:p>
    <w:p>
      <w:pPr>
        <w:pStyle w:val="BodyText"/>
        <w:suppressAutoHyphens w:val="true"/>
        <w:spacing w:lineRule="auto" w:line="240"/>
        <w:ind w:hanging="0" w:start="1440" w:end="0"/>
        <w:rPr/>
      </w:pPr>
      <w:r>
        <w:rPr/>
        <w:t xml:space="preserve">Consequently: </w:t>
      </w:r>
    </w:p>
    <w:p>
      <w:pPr>
        <w:pStyle w:val="Heading5"/>
        <w:keepNext w:val="false"/>
        <w:keepLines w:val="false"/>
        <w:widowControl/>
        <w:suppressAutoHyphens w:val="true"/>
        <w:rPr/>
      </w:pPr>
      <w:r>
        <w:rPr/>
        <w:t>i.</w:t>
        <w:tab/>
        <w:t xml:space="preserve">PG&amp;E will not be responsible for any proposed additional Northern California ITCS costs or other penalties or remedies alleged in the PEPR/ITCS proceeding for the period addressed in such proceeding or subsequent periods; </w:t>
      </w:r>
    </w:p>
    <w:p>
      <w:pPr>
        <w:pStyle w:val="Heading5"/>
        <w:keepNext w:val="false"/>
        <w:keepLines w:val="false"/>
        <w:widowControl/>
        <w:suppressAutoHyphens w:val="true"/>
        <w:rPr/>
      </w:pPr>
      <w:r>
        <w:rPr/>
        <w:t>ii.</w:t>
        <w:tab/>
        <w:t>No other ITCS, capacity assignments, revenue requirements, or similar “stranded costs” or penalties should be shifted to Northern California ratepayers or PG&amp;E shareholders from Southern California, as alleged in the PEPR/ITCS proceeding, the SoCalGas BCAP (Application 96-03-031), and other proceedings.</w:t>
      </w:r>
    </w:p>
    <w:p>
      <w:pPr>
        <w:pStyle w:val="Heading5"/>
        <w:keepNext w:val="false"/>
        <w:keepLines w:val="false"/>
        <w:widowControl/>
        <w:suppressAutoHyphens w:val="true"/>
        <w:rPr/>
      </w:pPr>
      <w:r>
        <w:rPr/>
        <w:t>iii.</w:t>
        <w:tab/>
        <w:t>PG&amp;E shall be entitled to recovery of 50 percent of ITCS charges through gas transportation rates.  No ITCS charges shall be recovered through electric rates except those paid by PG&amp;E’s UEG as a noncore gas customer.</w:t>
      </w:r>
    </w:p>
    <w:p>
      <w:pPr>
        <w:pStyle w:val="Heading4"/>
        <w:keepNext w:val="false"/>
        <w:keepLines w:val="false"/>
        <w:widowControl/>
        <w:suppressAutoHyphens w:val="true"/>
        <w:rPr/>
      </w:pPr>
      <w:r>
        <w:rPr/>
        <w:t>c.</w:t>
        <w:tab/>
      </w:r>
      <w:r>
        <w:rPr>
          <w:u w:val="single"/>
        </w:rPr>
        <w:t>Pipeline Expansion Rates</w:t>
      </w:r>
    </w:p>
    <w:p>
      <w:pPr>
        <w:pStyle w:val="Normal"/>
        <w:widowControl/>
        <w:suppressAutoHyphens w:val="true"/>
        <w:ind w:start="1440" w:end="0"/>
        <w:rPr/>
      </w:pPr>
      <w:r>
        <w:rPr/>
        <w:t xml:space="preserve">PG&amp;E agrees that, for ratemaking purposes, the initial capital cost of the PG&amp;E portion of the PG&amp;E/PGT Pipeline Expansion Project will be $736 million.  In recalculating rates using the lower Line 401 capital costs, PG&amp;E will use the Company’s utility corporate cost of capital and capital structure.  The rates and terms of service for the Malin to on- and off-system paths, which include a </w:t>
        <w:br/>
        <w:t xml:space="preserve">Line 401 component, and the major assumptions used in deriving the Line 401 component, are as specified in Sections II.I and IV.  The rates and terms of service for G-XF firm service are as specified in Section II.B.1.  Other options available to firm Expansion shippers are described in Section II.F.1.c.    </w:t>
      </w:r>
    </w:p>
    <w:p>
      <w:pPr>
        <w:pStyle w:val="Heading4"/>
        <w:keepNext w:val="false"/>
        <w:keepLines w:val="false"/>
        <w:widowControl/>
        <w:suppressAutoHyphens w:val="true"/>
        <w:rPr/>
      </w:pPr>
      <w:r>
        <w:rPr/>
        <w:t>d.</w:t>
        <w:tab/>
      </w:r>
      <w:r>
        <w:rPr>
          <w:u w:val="single"/>
        </w:rPr>
        <w:t>Backbone Credit</w:t>
      </w:r>
    </w:p>
    <w:p>
      <w:pPr>
        <w:pStyle w:val="Normal"/>
        <w:widowControl/>
        <w:suppressAutoHyphens w:val="true"/>
        <w:ind w:start="1440" w:end="0"/>
        <w:rPr/>
      </w:pPr>
      <w:r>
        <w:rPr/>
        <w:t>PG&amp;E agrees not to collect in future rates the balance of the Backbone Credit Memorandum Account.  As of the date the Gas Accord is approved by the CPUC, PG&amp;E will not provide a backbone credit to any shipper and will remove the backbone crediting provisions from its tariffs.  The Backbone Credit Memorandum Account will be terminated as of the date the Gas Accord is approved.</w:t>
      </w:r>
    </w:p>
    <w:p>
      <w:pPr>
        <w:pStyle w:val="Normal"/>
        <w:widowControl/>
        <w:suppressAutoHyphens w:val="true"/>
        <w:ind w:start="1440" w:end="0"/>
        <w:rPr/>
      </w:pPr>
      <w:r>
        <w:rPr/>
      </w:r>
    </w:p>
    <w:p>
      <w:pPr>
        <w:pStyle w:val="Heading3"/>
        <w:keepNext w:val="false"/>
        <w:keepLines w:val="false"/>
        <w:widowControl/>
        <w:suppressAutoHyphens w:val="true"/>
        <w:spacing w:before="0" w:after="0"/>
        <w:rPr/>
      </w:pPr>
      <w:r>
        <w:rPr/>
        <w:t>5.</w:t>
        <w:tab/>
      </w:r>
      <w:r>
        <w:rPr>
          <w:u w:val="single"/>
        </w:rPr>
        <w:t>EAD Contracts</w:t>
      </w:r>
    </w:p>
    <w:p>
      <w:pPr>
        <w:pStyle w:val="Normal"/>
        <w:widowControl/>
        <w:suppressAutoHyphens w:val="true"/>
        <w:ind w:start="1080" w:end="0"/>
        <w:rPr/>
      </w:pPr>
      <w:r>
        <w:rPr/>
        <w:t>(A.92-07-047, 92-07-049, 95-02-008, and 95-02-010)</w:t>
      </w:r>
    </w:p>
    <w:p>
      <w:pPr>
        <w:pStyle w:val="BodyText"/>
        <w:widowControl/>
        <w:suppressAutoHyphens w:val="true"/>
        <w:spacing w:lineRule="auto" w:line="240"/>
        <w:ind w:hanging="360" w:start="1080" w:end="0"/>
        <w:rPr/>
      </w:pPr>
      <w:r>
        <w:rPr/>
        <w:t>For the period from the contracts’ inception dates until the date the Gas Accord rate structure is implemented, PG&amp;E will collect 75 percent of EAD revenue shortfalls by operation of the Noncore Fixed Cost Account.  This covers all EAD contracts, except those with Gaylord and Posco, approved in Decisions 95</w:t>
        <w:noBreakHyphen/>
        <w:t>06</w:t>
        <w:noBreakHyphen/>
        <w:t>022 and 95</w:t>
        <w:noBreakHyphen/>
        <w:t>06</w:t>
        <w:noBreakHyphen/>
        <w:t xml:space="preserve">023, respectively.  With respect to those contracts, PG&amp;E will be at risk for 100 percent of EAD shortfall revenue.  During the Gas Accord period, PG&amp;E will not collect any EAD revenue shortfalls in rates.  The Commission will not take any further action in and will close this consolidated proceeding. </w:t>
      </w:r>
    </w:p>
    <w:p>
      <w:pPr>
        <w:pStyle w:val="BodyText"/>
        <w:widowControl/>
        <w:suppressAutoHyphens w:val="true"/>
        <w:spacing w:lineRule="auto" w:line="240"/>
        <w:rPr/>
      </w:pPr>
      <w:r>
        <w:rPr/>
      </w:r>
    </w:p>
    <w:p>
      <w:pPr>
        <w:pStyle w:val="Heading3"/>
        <w:keepNext w:val="false"/>
        <w:keepLines w:val="false"/>
        <w:widowControl/>
        <w:suppressAutoHyphens w:val="true"/>
        <w:spacing w:before="0" w:after="0"/>
        <w:rPr/>
      </w:pPr>
      <w:r>
        <w:rPr/>
        <w:t>6.</w:t>
        <w:tab/>
        <w:t xml:space="preserve"> </w:t>
      </w:r>
      <w:r>
        <w:rPr>
          <w:u w:val="single"/>
        </w:rPr>
        <w:t>BCAP Phase II</w:t>
      </w:r>
      <w:r>
        <w:rPr/>
        <w:t xml:space="preserve"> </w:t>
      </w:r>
    </w:p>
    <w:p>
      <w:pPr>
        <w:pStyle w:val="Normal"/>
        <w:widowControl/>
        <w:suppressAutoHyphens w:val="true"/>
        <w:ind w:start="1080" w:end="0"/>
        <w:rPr/>
      </w:pPr>
      <w:r>
        <w:rPr/>
        <w:t>(A.94-11-015)</w:t>
      </w:r>
    </w:p>
    <w:p>
      <w:pPr>
        <w:pStyle w:val="Normal"/>
        <w:widowControl/>
        <w:suppressAutoHyphens w:val="true"/>
        <w:ind w:start="1080" w:end="0"/>
        <w:rPr/>
      </w:pPr>
      <w:r>
        <w:rPr/>
        <w:t>In PG&amp;E’s 1995 BCAP, SMUD proposed an unbundled backbone transmission rate.  Decision 95-12-053, recognizing that there were issues that needed to be addressed prior to adopting such a rate, established a second phase in the BCAP.  The Decision also recognized that these issues could potentially be resolved in the Accord, and therefore encouraged parties to enter into negotiations as part of the Accord process.</w:t>
      </w:r>
    </w:p>
    <w:p>
      <w:pPr>
        <w:pStyle w:val="Normal"/>
        <w:widowControl/>
        <w:ind w:start="1080" w:end="0"/>
        <w:rPr/>
      </w:pPr>
      <w:r>
        <w:rPr/>
        <w:t>Subsequent to the issuance of Decision 95-12-053, PG&amp;E and SMUD have reached preliminary agreement for service that better meets SMUD’s needs, as discussed in Section II.F.6.  Subject to timely completing the definitive agreements and securing CPUC approval, this arrangement will resolve SMUD’s Phase II BCAP issues.  The Gas Accord provides the framework necessary for PG&amp;E to negotiate to resolve any remaining concerns of other parties.</w:t>
      </w:r>
    </w:p>
    <w:p>
      <w:pPr>
        <w:pStyle w:val="Heading3"/>
        <w:widowControl/>
        <w:rPr/>
      </w:pPr>
      <w:r>
        <w:rPr/>
        <w:t>7.</w:t>
        <w:tab/>
      </w:r>
      <w:r>
        <w:rPr>
          <w:u w:val="single"/>
        </w:rPr>
        <w:t>Remaining Reasonableness Issues</w:t>
      </w:r>
      <w:r>
        <w:rPr/>
        <w:t xml:space="preserve"> </w:t>
      </w:r>
    </w:p>
    <w:p>
      <w:pPr>
        <w:pStyle w:val="Normal"/>
        <w:widowControl/>
        <w:ind w:start="1080" w:end="0"/>
        <w:rPr/>
      </w:pPr>
      <w:r>
        <w:rPr/>
        <w:t>(A.93</w:t>
        <w:noBreakHyphen/>
        <w:t>04</w:t>
        <w:noBreakHyphen/>
        <w:t>011, 94</w:t>
        <w:noBreakHyphen/>
        <w:t>04</w:t>
        <w:noBreakHyphen/>
        <w:t>002, 95</w:t>
        <w:noBreakHyphen/>
        <w:t>04</w:t>
        <w:noBreakHyphen/>
        <w:t>002, and 96</w:t>
        <w:noBreakHyphen/>
        <w:t>04</w:t>
        <w:noBreakHyphen/>
        <w:t>001)</w:t>
      </w:r>
    </w:p>
    <w:p>
      <w:pPr>
        <w:pStyle w:val="Normal"/>
        <w:widowControl/>
        <w:ind w:start="1080" w:end="0"/>
        <w:rPr/>
      </w:pPr>
      <w:r>
        <w:rPr/>
        <w:t>All core procurement cost recovery after May 1994 shall be in accordance with PG&amp;E’s revised CPIM.  All other issues outstanding in reasonableness proceedings are deemed settled and no party shall seek or recommend any disallowance, sanction, or penalty associated any gas reasonableness issue, named or unnamed for years 1992 through 1995.</w:t>
      </w:r>
    </w:p>
    <w:p>
      <w:pPr>
        <w:pStyle w:val="Heading3"/>
        <w:widowControl/>
        <w:rPr/>
      </w:pPr>
      <w:r>
        <w:rPr/>
        <w:t>8.</w:t>
        <w:tab/>
      </w:r>
      <w:r>
        <w:rPr>
          <w:u w:val="single"/>
        </w:rPr>
        <w:t>1988 - 1990 Gas Reasonableness Issues</w:t>
      </w:r>
    </w:p>
    <w:p>
      <w:pPr>
        <w:pStyle w:val="Normal"/>
        <w:widowControl/>
        <w:ind w:start="1080" w:end="0"/>
        <w:rPr/>
      </w:pPr>
      <w:r>
        <w:rPr/>
        <w:t>(A.91-04-003)</w:t>
      </w:r>
    </w:p>
    <w:p>
      <w:pPr>
        <w:pStyle w:val="Normal"/>
        <w:widowControl/>
        <w:ind w:start="1080" w:end="0"/>
        <w:rPr/>
      </w:pPr>
      <w:r>
        <w:rPr/>
        <w:t>If the Gas Accord Settlement is finally adopted by the Commission, or adopted with modifications acceptable to PG&amp;E and DRA, PG&amp;E will permanently forego recovering from its ratepayers any of the disallowance ordered by Decision             94-03-050, which has been (or will be) refunded to ratepayers, notwithstanding the outcome of its pending lawsuit in Federal District court (Civil No. C-94-4381 WHO).  In the event the Federal District Court issues a decision prior to a Commission decision on the Gas Accord, PG&amp;E will not execute any court judgment or otherwise seek recovery of the disallowance and associated refunds ordered as a result of Decision 94-03-050, unless in PG&amp;E’s reasonable judgment, failure to do so would prejudice PG&amp;E’s right to said recovery.  In the event PG&amp;E seeks recovery of a refund in order to preserve its rights pending a Commission decision on the Accord, PG&amp;E agrees to once again refund the disallowance to ratepayers upon final approval of the Gas Accord Settlement.</w:t>
      </w:r>
    </w:p>
    <w:p>
      <w:pPr>
        <w:pStyle w:val="Normal"/>
        <w:widowControl/>
        <w:ind w:start="1080" w:end="0"/>
        <w:rPr/>
      </w:pPr>
      <w:r>
        <w:rPr/>
      </w:r>
    </w:p>
    <w:p>
      <w:pPr>
        <w:pStyle w:val="Normal"/>
        <w:widowControl/>
        <w:ind w:start="1080" w:end="0"/>
        <w:rPr/>
      </w:pPr>
      <w:r>
        <w:rPr/>
        <w:t>The UEG and noncore will receive their portion of the 1988-1990 disallowance ordered by Decision 94-03-050 upon approval of the refund plan pending before the Commission.  The UEG’s portion of the 1988-1990 disallowance ordered by Decision 94-03-050 will be credited directly to the ECAC balancing account and will not be refunded to electric customers directly.  This treatment will not have an effect on PG&amp;E’s electric rate freeze, and will be subject to the same provisions as other ECAC balances.</w:t>
      </w:r>
    </w:p>
    <w:p>
      <w:pPr>
        <w:pStyle w:val="Normal"/>
        <w:widowControl/>
        <w:ind w:start="1080" w:end="0"/>
        <w:rPr/>
      </w:pPr>
      <w:r>
        <w:rPr/>
      </w:r>
    </w:p>
    <w:p>
      <w:pPr>
        <w:pStyle w:val="Normal"/>
        <w:widowControl/>
        <w:ind w:start="1080" w:end="0"/>
        <w:rPr/>
      </w:pPr>
      <w:r>
        <w:rPr/>
        <w:t>As part of the overall Gas Accord Settlement, the remaining phase III C issues in Application 91-04-003 associated with the 1988-1990 disallowance (BCAP Phase II) are resolved for $3.7 million inclusive of any interest through 1995.  PG&amp;E will credit its ECAC balancing account $3.7 million effective December 31, 1995.  Interest would accrue from that date forward.  This treatment will not have an effect on PG&amp;E’s electric rate freeze, and will be subject to the same provisions as other ECAC balances.</w:t>
      </w:r>
    </w:p>
    <w:p>
      <w:pPr>
        <w:sectPr>
          <w:headerReference w:type="default" r:id="rId3"/>
          <w:footerReference w:type="default" r:id="rId4"/>
          <w:footnotePr>
            <w:numFmt w:val="decimal"/>
          </w:footnotePr>
          <w:type w:val="nextPage"/>
          <w:pgSz w:w="12240" w:h="15840"/>
          <w:pgMar w:left="1440" w:right="1440" w:gutter="0" w:header="720" w:top="1575" w:footer="720" w:bottom="1440"/>
          <w:pgNumType w:start="1" w:fmt="decimal"/>
          <w:formProt w:val="false"/>
          <w:textDirection w:val="lrTb"/>
        </w:sectPr>
        <w:pStyle w:val="Normal"/>
        <w:widowControl/>
        <w:ind w:start="1080" w:end="0"/>
        <w:rPr/>
      </w:pPr>
      <w:r>
        <w:rPr/>
      </w:r>
    </w:p>
    <w:p>
      <w:pPr>
        <w:pStyle w:val="Normal"/>
        <w:widowControl/>
        <w:suppressAutoHyphens w:val="true"/>
        <w:spacing w:lineRule="auto" w:line="360" w:before="0" w:after="360"/>
        <w:jc w:val="center"/>
        <w:rPr>
          <w:b/>
          <w:bCs/>
          <w:sz w:val="52"/>
          <w:szCs w:val="52"/>
        </w:rPr>
      </w:pPr>
      <w:r>
        <w:rPr>
          <w:b/>
          <w:bCs/>
          <w:sz w:val="52"/>
          <w:szCs w:val="52"/>
        </w:rPr>
      </w:r>
    </w:p>
    <w:p>
      <w:pPr>
        <w:pStyle w:val="Normal"/>
        <w:widowControl/>
        <w:suppressAutoHyphens w:val="true"/>
        <w:spacing w:lineRule="auto" w:line="360" w:before="0" w:after="360"/>
        <w:jc w:val="center"/>
        <w:rPr>
          <w:b/>
          <w:bCs/>
          <w:sz w:val="52"/>
          <w:szCs w:val="52"/>
        </w:rPr>
      </w:pPr>
      <w:r>
        <w:rPr>
          <w:sz w:val="20"/>
          <w:szCs w:val="20"/>
        </w:rPr>
        <w:drawing>
          <wp:inline distT="0" distB="0" distL="0" distR="0">
            <wp:extent cx="1378585" cy="35750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5"/>
                    <a:stretch>
                      <a:fillRect/>
                    </a:stretch>
                  </pic:blipFill>
                  <pic:spPr bwMode="auto">
                    <a:xfrm>
                      <a:off x="0" y="0"/>
                      <a:ext cx="1378585" cy="357505"/>
                    </a:xfrm>
                    <a:prstGeom prst="rect">
                      <a:avLst/>
                    </a:prstGeom>
                    <a:noFill/>
                  </pic:spPr>
                </pic:pic>
              </a:graphicData>
            </a:graphic>
          </wp:inline>
        </w:drawing>
      </w:r>
    </w:p>
    <w:p>
      <w:pPr>
        <w:pStyle w:val="Normal"/>
        <w:widowControl/>
        <w:suppressAutoHyphens w:val="true"/>
        <w:spacing w:lineRule="auto" w:line="360" w:before="0" w:after="360"/>
        <w:jc w:val="center"/>
        <w:rPr>
          <w:b/>
          <w:bCs/>
          <w:sz w:val="52"/>
          <w:szCs w:val="52"/>
        </w:rPr>
      </w:pPr>
      <w:r>
        <w:rPr>
          <w:b/>
          <w:bCs/>
          <w:sz w:val="52"/>
          <w:szCs w:val="52"/>
        </w:rPr>
      </w:r>
    </w:p>
    <w:p>
      <w:pPr>
        <w:pStyle w:val="Normal"/>
        <w:widowControl/>
        <w:suppressAutoHyphens w:val="true"/>
        <w:spacing w:lineRule="auto" w:line="360" w:before="0" w:after="360"/>
        <w:jc w:val="center"/>
        <w:rPr>
          <w:b/>
          <w:bCs/>
          <w:sz w:val="52"/>
          <w:szCs w:val="52"/>
        </w:rPr>
      </w:pPr>
      <w:r>
        <w:rPr>
          <w:b/>
          <w:bCs/>
          <w:sz w:val="52"/>
          <w:szCs w:val="52"/>
          <w:u w:val="single"/>
        </w:rPr>
        <w:t xml:space="preserve">THE  GAS  ACCORD </w:t>
      </w:r>
    </w:p>
    <w:p>
      <w:pPr>
        <w:pStyle w:val="Normal"/>
        <w:widowControl/>
        <w:suppressAutoHyphens w:val="true"/>
        <w:spacing w:lineRule="auto" w:line="360" w:before="0" w:after="360"/>
        <w:jc w:val="center"/>
        <w:rPr>
          <w:b/>
          <w:bCs/>
          <w:sz w:val="52"/>
          <w:szCs w:val="52"/>
        </w:rPr>
      </w:pPr>
      <w:r>
        <w:rPr>
          <w:b/>
          <w:bCs/>
          <w:sz w:val="52"/>
          <w:szCs w:val="52"/>
          <w:u w:val="single"/>
        </w:rPr>
        <w:t>SETTLEMENT  AGREEMENT</w:t>
      </w:r>
    </w:p>
    <w:p>
      <w:pPr>
        <w:pStyle w:val="Normal"/>
        <w:widowControl/>
        <w:suppressAutoHyphens w:val="true"/>
        <w:spacing w:lineRule="auto" w:line="360" w:before="0" w:after="360"/>
        <w:jc w:val="center"/>
        <w:rPr>
          <w:b/>
          <w:bCs/>
          <w:sz w:val="52"/>
          <w:szCs w:val="52"/>
        </w:rPr>
      </w:pPr>
      <w:r>
        <w:rPr>
          <w:b/>
          <w:bCs/>
          <w:sz w:val="52"/>
          <w:szCs w:val="52"/>
        </w:rPr>
      </w:r>
    </w:p>
    <w:p>
      <w:pPr>
        <w:pStyle w:val="Normal"/>
        <w:rPr>
          <w:b/>
          <w:bCs/>
          <w:sz w:val="52"/>
          <w:szCs w:val="52"/>
        </w:rPr>
      </w:pPr>
      <w:r>
        <w:rPr>
          <w:b/>
          <w:bCs/>
          <w:sz w:val="52"/>
          <w:szCs w:val="52"/>
        </w:rPr>
        <w:t>August 21, 1996</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1" w:fmt="lowerRoman"/>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080" w:end="0"/>
      <w:jc w:val="center"/>
      <w:rPr/>
    </w:pPr>
    <w:r>
      <w:rPr/>
      <w:t xml:space="preserve">Page  </w:t>
    </w:r>
    <w:r>
      <w:rPr/>
      <w:fldChar w:fldCharType="begin"/>
    </w:r>
    <w:r>
      <w:rPr/>
      <w:instrText xml:space="preserve"> PAGE </w:instrText>
    </w:r>
    <w:r>
      <w:rPr/>
      <w:fldChar w:fldCharType="separate"/>
    </w:r>
    <w:r>
      <w:rPr/>
      <w:t>69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w:t>
    </w:r>
    <w:r>
      <w:rPr/>
      <w:fldChar w:fldCharType="begin"/>
    </w:r>
    <w:r>
      <w:rPr/>
      <w:instrText xml:space="preserve"> PAGE </w:instrText>
    </w:r>
    <w:r>
      <w:rPr/>
      <w:fldChar w:fldCharType="separate"/>
    </w:r>
    <w:r>
      <w:rPr/>
      <w:t>0</w:t>
    </w:r>
    <w:r>
      <w:rPr/>
      <w:fldChar w:fldCharType="end"/>
    </w:r>
    <w:r>
      <w:rPr/>
      <w:t>-</w:t>
    </w:r>
    <w:r>
      <w:rPr>
        <w:sz w:val="20"/>
        <w:szCs w:val="20"/>
      </w:rPr>
      <w:tab/>
    </w:r>
  </w:p>
  <w:p>
    <w:pPr>
      <w:pStyle w:val="Footer"/>
      <w:spacing w:lineRule="atLeast" w:line="20"/>
      <w:rPr/>
    </w:pPr>
    <w:r>
      <w:rPr>
        <w:vanish/>
        <w:sz w:val="16"/>
        <w:szCs w:val="16"/>
      </w:rPr>
      <w:t>|</w:t>
    </w: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/mnt/main-storage/datasets/enron-docs/doc/Gas_Accord-9c23355f5c148088735e1f0d906d23646d00d8cd9c5847d4b5d32b9723f5e2c3.doc</w:t>
    </w:r>
    <w:r>
      <w:rPr>
        <w:sz w:val="16"/>
        <w:szCs w:val="16"/>
      </w:rPr>
      <w:fldChar w:fldCharType="end"/>
    </w:r>
    <w:r>
      <w:rPr>
        <w:vanish/>
        <w:sz w:val="16"/>
        <w:szCs w:val="16"/>
      </w:rPr>
      <w:t>|</w:t>
    </w:r>
    <w:r>
      <w:rPr>
        <w:sz w:val="16"/>
        <w:szCs w:val="16"/>
      </w:rPr>
      <w:tab/>
      <w:tab/>
    </w:r>
    <w:r>
      <w:rPr>
        <w:sz w:val="16"/>
        <w:szCs w:val="16"/>
      </w:rPr>
      <w:fldChar w:fldCharType="begin"/>
    </w:r>
    <w:r>
      <w:rPr>
        <w:sz w:val="16"/>
        <w:szCs w:val="16"/>
      </w:rPr>
      <w:instrText xml:space="preserve"> DATE \@"M\/d\/yy\ " </w:instrText>
    </w:r>
    <w:r>
      <w:rPr>
        <w:sz w:val="16"/>
        <w:szCs w:val="16"/>
      </w:rPr>
      <w:fldChar w:fldCharType="separate"/>
    </w:r>
    <w:r>
      <w:rPr>
        <w:sz w:val="16"/>
        <w:szCs w:val="16"/>
      </w:rPr>
      <w:t xml:space="preserve">9/28/25 </w:t>
    </w:r>
    <w:r>
      <w:rPr>
        <w:sz w:val="16"/>
        <w:szCs w:val="16"/>
      </w:rPr>
      <w:fldChar w:fldCharType="end"/>
    </w:r>
    <w:r>
      <w:rPr>
        <w:sz w:val="16"/>
        <w:szCs w:val="16"/>
      </w:rPr>
      <w:t xml:space="preserve"> </w:t>
    </w:r>
    <w:r>
      <w:rPr>
        <w:sz w:val="16"/>
        <w:szCs w:val="16"/>
      </w:rPr>
      <w:fldChar w:fldCharType="begin"/>
    </w:r>
    <w:r>
      <w:rPr>
        <w:sz w:val="16"/>
        <w:szCs w:val="16"/>
      </w:rPr>
      <w:instrText xml:space="preserve"> TIME \@"H:mm\ AM/PM\ " </w:instrText>
    </w:r>
    <w:r>
      <w:rPr>
        <w:sz w:val="16"/>
        <w:szCs w:val="16"/>
      </w:rPr>
      <w:fldChar w:fldCharType="separate"/>
    </w:r>
    <w:r>
      <w:rPr>
        <w:sz w:val="16"/>
        <w:szCs w:val="16"/>
      </w:rPr>
      <w:t xml:space="preserve">8:43 AM </w:t>
    </w:r>
    <w:r>
      <w:rPr>
        <w:sz w:val="16"/>
        <w:szCs w:val="16"/>
      </w:rPr>
      <w:fldChar w:fldCharType="end"/>
    </w:r>
    <w:r>
      <w:rPr>
        <w:vanish/>
        <w:sz w:val="16"/>
        <w:szCs w:val="16"/>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p>
    <w:pPr>
      <w:pStyle w:val="Footer"/>
      <w:spacing w:lineRule="atLeast" w:line="20"/>
      <w:rPr>
        <w:vanish/>
        <w:sz w:val="16"/>
        <w:szCs w:val="16"/>
      </w:rPr>
    </w:pPr>
    <w:r>
      <w:rPr>
        <w:vanish/>
        <w:sz w:val="16"/>
        <w:szCs w:val="16"/>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before="0" w:after="120"/>
        <w:rPr/>
      </w:pPr>
      <w:r>
        <w:rPr>
          <w:rStyle w:val="FootnoteCharacters"/>
        </w:rPr>
        <w:footnoteRef/>
      </w:r>
      <w:r>
        <w:rPr>
          <w:vertAlign w:val="superscript"/>
        </w:rPr>
        <w:t>/</w:t>
        <w:tab/>
      </w:r>
      <w:r>
        <w:rPr/>
        <w:t>That is, the firm service rate for cogenerators will be calculated using any negotiated rates for firm service for UEG weighted by volume; similarly, the As-available service rate for cogenerators will be calculated using any negotiated rates for As-available service for UEG weighted by volume.</w:t>
      </w:r>
    </w:p>
  </w:footnote>
  <w:footnote w:id="3">
    <w:p>
      <w:pPr>
        <w:pStyle w:val="FootnoteText"/>
        <w:widowControl/>
        <w:spacing w:before="0" w:after="120"/>
        <w:rPr/>
      </w:pPr>
      <w:r>
        <w:rPr>
          <w:rStyle w:val="FootnoteCharacters"/>
        </w:rPr>
        <w:footnoteRef/>
      </w:r>
      <w:r>
        <w:rPr>
          <w:vertAlign w:val="superscript"/>
        </w:rPr>
        <w:t>/</w:t>
      </w:r>
      <w:r>
        <w:rPr/>
        <w:tab/>
        <w:t>For purposes of this paragraph, the term “service specific” shall refer to either firm service or As-available service (including negotiable rate, non-negotiable rate and other variations of such service) and indicates the distinction between firm and As-available as separate services.</w:t>
      </w:r>
    </w:p>
  </w:footnote>
  <w:footnote w:id="4">
    <w:p>
      <w:pPr>
        <w:pStyle w:val="FootnoteText"/>
        <w:widowControl/>
        <w:spacing w:before="0" w:after="120"/>
        <w:rPr/>
      </w:pPr>
      <w:r>
        <w:rPr>
          <w:rStyle w:val="FootnoteCharacters"/>
        </w:rPr>
        <w:footnoteRef/>
      </w:r>
      <w:r>
        <w:rPr>
          <w:vertAlign w:val="superscript"/>
        </w:rPr>
        <w:t>/</w:t>
      </w:r>
      <w:r>
        <w:rPr/>
        <w:tab/>
        <w:t>The cogenerator gas allowance is not to be determined by the Gas Accord, except that it will remain within 10 percent of 0.09683 th/kWh.</w:t>
      </w:r>
    </w:p>
  </w:footnote>
  <w:footnote w:id="5">
    <w:p>
      <w:pPr>
        <w:pStyle w:val="FootnoteText"/>
        <w:widowControl/>
        <w:spacing w:before="0" w:after="120"/>
        <w:rPr/>
      </w:pPr>
      <w:r>
        <w:rPr>
          <w:rStyle w:val="FootnoteCharacters"/>
        </w:rPr>
        <w:footnoteRef/>
      </w:r>
      <w:r>
        <w:rPr>
          <w:vertAlign w:val="superscript"/>
        </w:rPr>
        <w:t>/</w:t>
      </w:r>
      <w:r>
        <w:rPr/>
        <w:tab/>
        <w:t>The Gas Accord does not restrict either PG&amp;E or cogenerators from seeking legislative changes to P.U. Code Section 454.4, but the parties shall support the provisions of the Gas Accord before the CPUC.</w:t>
      </w:r>
    </w:p>
  </w:footnote>
  <w:footnote w:id="6">
    <w:p>
      <w:pPr>
        <w:pStyle w:val="FootnoteText"/>
        <w:widowControl/>
        <w:rPr/>
      </w:pPr>
      <w:r>
        <w:rPr>
          <w:rStyle w:val="FootnoteCharacters"/>
        </w:rPr>
        <w:footnoteRef/>
      </w:r>
      <w:r>
        <w:rPr>
          <w:vertAlign w:val="superscript"/>
        </w:rPr>
        <w:t>/</w:t>
      </w:r>
      <w:r>
        <w:rPr/>
        <w:tab/>
        <w:t xml:space="preserve">The provisions of this section are not intended to limit parties’ abilities to address before the CPUC any issue they think appropriate dealing with the divestiture of PG&amp;E generation units.  This could include discussion of any cogeneration rate parity topics as they might relate in any way to divested units.  </w:t>
      </w:r>
    </w:p>
    <w:p>
      <w:pPr>
        <w:pStyle w:val="FootnoteText"/>
        <w:widowControl/>
        <w:spacing w:before="0" w:after="12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4158" w:type="dxa"/>
      <w:tblLayout w:type="fixed"/>
      <w:tblCellMar>
        <w:top w:w="0" w:type="dxa"/>
        <w:start w:w="108" w:type="dxa"/>
        <w:bottom w:w="0" w:type="dxa"/>
        <w:end w:w="108" w:type="dxa"/>
      </w:tblCellMar>
    </w:tblPr>
    <w:tblGrid>
      <w:gridCol w:w="5310"/>
    </w:tblGrid>
    <w:tr>
      <w:trPr>
        <w:trHeight w:val="72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ind w:hanging="18" w:end="-3888"/>
            <w:rPr>
              <w:rFonts w:ascii="Arial" w:hAnsi="Arial" w:eastAsia="Arial" w:cs="Arial"/>
              <w:sz w:val="16"/>
              <w:szCs w:val="16"/>
            </w:rPr>
          </w:pPr>
          <w:r>
            <w:rPr>
              <w:rFonts w:eastAsia="Arial" w:cs="Arial" w:ascii="Arial" w:hAnsi="Arial"/>
              <w:sz w:val="16"/>
              <w:szCs w:val="16"/>
            </w:rPr>
            <w:t xml:space="preserve">Subject to Rule 51 of the CPUC Rules of Practice and Procedure, </w:t>
          </w:r>
        </w:p>
        <w:p>
          <w:pPr>
            <w:pStyle w:val="Header"/>
            <w:ind w:hanging="18" w:end="-3888"/>
            <w:rPr/>
          </w:pPr>
          <w:r>
            <w:rPr>
              <w:rFonts w:eastAsia="Arial" w:cs="Arial" w:ascii="Arial" w:hAnsi="Arial"/>
              <w:sz w:val="16"/>
              <w:szCs w:val="16"/>
            </w:rP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xml:space="preserve">. of the FERC Rules of Practice, Rule 408 of the Federal   </w:t>
          </w:r>
        </w:p>
        <w:p>
          <w:pPr>
            <w:pStyle w:val="Header"/>
            <w:ind w:hanging="18" w:end="-3888"/>
            <w:rPr>
              <w:rFonts w:ascii="Arial" w:hAnsi="Arial" w:eastAsia="Arial" w:cs="Arial"/>
              <w:sz w:val="16"/>
              <w:szCs w:val="16"/>
            </w:rPr>
          </w:pPr>
          <w:r>
            <w:rPr>
              <w:rFonts w:eastAsia="Arial" w:cs="Arial" w:ascii="Arial" w:hAnsi="Arial"/>
              <w:sz w:val="16"/>
              <w:szCs w:val="16"/>
            </w:rPr>
            <w:t>Rules of Evidence, and Section 1152 of the California Evidence Code</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4158" w:type="dxa"/>
      <w:tblLayout w:type="fixed"/>
      <w:tblCellMar>
        <w:top w:w="0" w:type="dxa"/>
        <w:start w:w="108" w:type="dxa"/>
        <w:bottom w:w="0" w:type="dxa"/>
        <w:end w:w="108" w:type="dxa"/>
      </w:tblCellMar>
    </w:tblPr>
    <w:tblGrid>
      <w:gridCol w:w="5310"/>
    </w:tblGrid>
    <w:tr>
      <w:trPr>
        <w:trHeight w:val="72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ind w:hanging="18" w:end="-3888"/>
            <w:rPr>
              <w:rFonts w:ascii="Arial" w:hAnsi="Arial" w:eastAsia="Arial" w:cs="Arial"/>
              <w:sz w:val="16"/>
              <w:szCs w:val="16"/>
            </w:rPr>
          </w:pPr>
          <w:r>
            <w:rPr>
              <w:rFonts w:eastAsia="Arial" w:cs="Arial" w:ascii="Arial" w:hAnsi="Arial"/>
              <w:sz w:val="16"/>
              <w:szCs w:val="16"/>
            </w:rPr>
            <w:t xml:space="preserve">Subject to Rule 51 of the CPUC Rules of Practice and Procedure, </w:t>
          </w:r>
        </w:p>
        <w:p>
          <w:pPr>
            <w:pStyle w:val="Header"/>
            <w:ind w:hanging="18" w:end="-3888"/>
            <w:rPr/>
          </w:pPr>
          <w:r>
            <w:rPr>
              <w:rFonts w:eastAsia="Arial" w:cs="Arial" w:ascii="Arial" w:hAnsi="Arial"/>
              <w:sz w:val="16"/>
              <w:szCs w:val="16"/>
            </w:rP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xml:space="preserve">. of the FERC Rules of Practice, Rule 408 of the Federal   </w:t>
          </w:r>
        </w:p>
        <w:p>
          <w:pPr>
            <w:pStyle w:val="Header"/>
            <w:ind w:hanging="18" w:end="-3888"/>
            <w:rPr>
              <w:rFonts w:ascii="Arial" w:hAnsi="Arial" w:eastAsia="Arial" w:cs="Arial"/>
              <w:sz w:val="16"/>
              <w:szCs w:val="16"/>
            </w:rPr>
          </w:pPr>
          <w:r>
            <w:rPr>
              <w:rFonts w:eastAsia="Arial" w:cs="Arial" w:ascii="Arial" w:hAnsi="Arial"/>
              <w:sz w:val="16"/>
              <w:szCs w:val="16"/>
            </w:rPr>
            <w:t>Rules of Evidence, and Section 1152 of the California Evidence Code</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2"/>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before="240" w:after="0"/>
      <w:ind w:hanging="360" w:start="360" w:end="0"/>
      <w:outlineLvl w:val="0"/>
    </w:pPr>
    <w:rPr>
      <w:b/>
      <w:bCs/>
    </w:rPr>
  </w:style>
  <w:style w:type="paragraph" w:styleId="Heading2">
    <w:name w:val="heading 2"/>
    <w:basedOn w:val="Heading1"/>
    <w:next w:val="Normal"/>
    <w:qFormat/>
    <w:pPr>
      <w:numPr>
        <w:ilvl w:val="1"/>
        <w:numId w:val="1"/>
      </w:numPr>
      <w:ind w:hanging="360" w:start="720" w:end="0"/>
      <w:outlineLvl w:val="1"/>
    </w:pPr>
    <w:rPr/>
  </w:style>
  <w:style w:type="paragraph" w:styleId="Heading3">
    <w:name w:val="heading 3"/>
    <w:basedOn w:val="Heading2"/>
    <w:next w:val="BodyText"/>
    <w:qFormat/>
    <w:pPr>
      <w:numPr>
        <w:ilvl w:val="2"/>
        <w:numId w:val="1"/>
      </w:numPr>
      <w:ind w:hanging="360" w:start="1080" w:end="0"/>
      <w:outlineLvl w:val="2"/>
    </w:pPr>
    <w:rPr>
      <w:b w:val="false"/>
      <w:bCs w:val="false"/>
    </w:rPr>
  </w:style>
  <w:style w:type="paragraph" w:styleId="Heading4">
    <w:name w:val="heading 4"/>
    <w:basedOn w:val="Heading3"/>
    <w:next w:val="BodyText"/>
    <w:qFormat/>
    <w:pPr>
      <w:numPr>
        <w:ilvl w:val="3"/>
        <w:numId w:val="1"/>
      </w:numPr>
      <w:ind w:hanging="360" w:start="1440" w:end="0"/>
      <w:outlineLvl w:val="3"/>
    </w:pPr>
    <w:rPr/>
  </w:style>
  <w:style w:type="paragraph" w:styleId="Heading5">
    <w:name w:val="heading 5"/>
    <w:basedOn w:val="Heading4"/>
    <w:next w:val="BodyText"/>
    <w:qFormat/>
    <w:pPr>
      <w:numPr>
        <w:ilvl w:val="4"/>
        <w:numId w:val="1"/>
      </w:numPr>
      <w:ind w:hanging="360" w:start="1800" w:end="0"/>
      <w:outlineLvl w:val="4"/>
    </w:pPr>
    <w:rPr/>
  </w:style>
  <w:style w:type="paragraph" w:styleId="Heading6">
    <w:name w:val="heading 6"/>
    <w:basedOn w:val="Heading5"/>
    <w:next w:val="BodyText"/>
    <w:qFormat/>
    <w:pPr>
      <w:numPr>
        <w:ilvl w:val="5"/>
        <w:numId w:val="1"/>
      </w:numPr>
      <w:ind w:hanging="720" w:start="2520" w:end="0"/>
      <w:outlineLvl w:val="5"/>
    </w:pPr>
    <w:rPr>
      <w:b/>
      <w:bCs/>
    </w:rPr>
  </w:style>
  <w:style w:type="paragraph" w:styleId="Heading7">
    <w:name w:val="heading 7"/>
    <w:basedOn w:val="Heading6"/>
    <w:next w:val="BodyText"/>
    <w:qFormat/>
    <w:pPr>
      <w:numPr>
        <w:ilvl w:val="6"/>
        <w:numId w:val="1"/>
      </w:numPr>
      <w:ind w:hanging="720" w:start="3240" w:end="0"/>
      <w:outlineLvl w:val="6"/>
    </w:pPr>
    <w:rPr/>
  </w:style>
  <w:style w:type="paragraph" w:styleId="Heading8">
    <w:name w:val="heading 8"/>
    <w:basedOn w:val="Heading7"/>
    <w:next w:val="BodyText"/>
    <w:qFormat/>
    <w:pPr>
      <w:numPr>
        <w:ilvl w:val="7"/>
        <w:numId w:val="1"/>
      </w:numPr>
      <w:ind w:hanging="720" w:start="3960" w:end="0"/>
      <w:outlineLvl w:val="7"/>
    </w:pPr>
    <w:rPr/>
  </w:style>
  <w:style w:type="paragraph" w:styleId="Heading9">
    <w:name w:val="heading 9"/>
    <w:basedOn w:val="Heading8"/>
    <w:next w:val="BodyText"/>
    <w:qFormat/>
    <w:pPr>
      <w:numPr>
        <w:ilvl w:val="8"/>
        <w:numId w:val="1"/>
      </w:numPr>
      <w:tabs>
        <w:tab w:val="clear" w:pos="720"/>
        <w:tab w:val="left" w:pos="360" w:leader="none"/>
      </w:tabs>
      <w:ind w:hanging="720" w:start="4680" w:end="0"/>
      <w:outlineLvl w:val="8"/>
    </w:pPr>
    <w:rPr/>
  </w:style>
  <w:style w:type="character" w:styleId="DefaultParagraphFont">
    <w:name w:val="Default Paragraph Font"/>
    <w:qFormat/>
    <w:rPr/>
  </w:style>
  <w:style w:type="character" w:styleId="PageNumber">
    <w:name w:val="page number"/>
    <w:basedOn w:val="DefaultParagraphFont"/>
    <w:rPr>
      <w:rFonts w:ascii="Courier New" w:hAnsi="Courier New" w:eastAsia="Courier New" w:cs="Courier New"/>
    </w:rPr>
  </w:style>
  <w:style w:type="character" w:styleId="FootnoteCharacters">
    <w:name w:val="Footnote Characters"/>
    <w:basedOn w:val="DefaultParagraphFont"/>
    <w:qFormat/>
    <w:rPr>
      <w:u w:val="single"/>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240"/>
      <w:ind w:hanging="0" w:start="720" w:end="720"/>
      <w:jc w:val="center"/>
    </w:pPr>
    <w:rPr>
      <w:b/>
      <w:bCs/>
      <w:kern w:val="2"/>
    </w:rPr>
  </w:style>
  <w:style w:type="paragraph" w:styleId="BodyText">
    <w:name w:val="Body Text"/>
    <w:basedOn w:val="Normal"/>
    <w:pPr>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821" w:leader="none"/>
      </w:tabs>
    </w:pPr>
    <w:rPr/>
  </w:style>
  <w:style w:type="paragraph" w:styleId="Footer">
    <w:name w:val="footer"/>
    <w:basedOn w:val="Normal"/>
    <w:pPr>
      <w:tabs>
        <w:tab w:val="clear" w:pos="720"/>
        <w:tab w:val="center" w:pos="4320" w:leader="none"/>
        <w:tab w:val="right" w:pos="9821" w:leader="none"/>
      </w:tabs>
    </w:pPr>
    <w:rPr/>
  </w:style>
  <w:style w:type="paragraph" w:styleId="Quote">
    <w:name w:val="Quote"/>
    <w:basedOn w:val="Normal"/>
    <w:next w:val="Normal"/>
    <w:qFormat/>
    <w:pPr>
      <w:spacing w:before="240" w:after="0"/>
      <w:ind w:hanging="0" w:start="1440" w:end="1440"/>
    </w:pPr>
    <w:rPr/>
  </w:style>
  <w:style w:type="paragraph" w:styleId="Centered">
    <w:name w:val="Centered"/>
    <w:basedOn w:val="Normal"/>
    <w:next w:val="BodyText"/>
    <w:qFormat/>
    <w:pPr>
      <w:spacing w:before="0" w:after="240"/>
      <w:jc w:val="center"/>
    </w:pPr>
    <w:rPr/>
  </w:style>
  <w:style w:type="paragraph" w:styleId="FootnoteText">
    <w:name w:val="footnote text"/>
    <w:basedOn w:val="Normal"/>
    <w:pPr>
      <w:tabs>
        <w:tab w:val="clear" w:pos="720"/>
        <w:tab w:val="left" w:pos="432" w:leader="none"/>
      </w:tabs>
      <w:spacing w:before="0" w:after="120"/>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ind w:hanging="4867" w:start="4867" w:end="0"/>
    </w:pPr>
    <w:rPr/>
  </w:style>
  <w:style w:type="paragraph" w:styleId="TableofAuthorities">
    <w:name w:val="Table of Authorities"/>
    <w:basedOn w:val="Normal"/>
    <w:next w:val="Normal"/>
    <w:qFormat/>
    <w:pPr>
      <w:tabs>
        <w:tab w:val="clear" w:pos="720"/>
        <w:tab w:val="right" w:pos="9806" w:leader="dot"/>
      </w:tabs>
      <w:spacing w:before="120" w:after="0"/>
      <w:ind w:hanging="0" w:start="720" w:end="720"/>
    </w:pPr>
    <w:rPr/>
  </w:style>
  <w:style w:type="paragraph" w:styleId="TOAHeading">
    <w:name w:val="TOA Heading"/>
    <w:basedOn w:val="Normal"/>
    <w:next w:val="TableofAuthorities"/>
    <w:qFormat/>
    <w:pPr>
      <w:keepNext w:val="true"/>
      <w:spacing w:before="120" w:after="0"/>
    </w:pPr>
    <w:rPr>
      <w:b/>
      <w:bCs/>
      <w:caps/>
    </w:rPr>
  </w:style>
  <w:style w:type="paragraph" w:styleId="TOC1">
    <w:name w:val="toc 1"/>
    <w:basedOn w:val="Normal"/>
    <w:pPr>
      <w:keepLines/>
      <w:tabs>
        <w:tab w:val="clear" w:pos="720"/>
        <w:tab w:val="right" w:pos="9360" w:leader="dot"/>
      </w:tabs>
      <w:spacing w:before="120" w:after="0"/>
      <w:ind w:hanging="806" w:start="806" w:end="1440"/>
    </w:pPr>
    <w:rPr>
      <w:caps/>
    </w:rPr>
  </w:style>
  <w:style w:type="paragraph" w:styleId="TOC2">
    <w:name w:val="toc 2"/>
    <w:basedOn w:val="Normal"/>
    <w:pPr>
      <w:tabs>
        <w:tab w:val="clear" w:pos="720"/>
        <w:tab w:val="right" w:pos="9360" w:leader="dot"/>
      </w:tabs>
      <w:spacing w:before="120" w:after="0"/>
      <w:ind w:hanging="634" w:start="1440" w:end="1440"/>
    </w:pPr>
    <w:rPr/>
  </w:style>
  <w:style w:type="paragraph" w:styleId="TOC3">
    <w:name w:val="toc 3"/>
    <w:basedOn w:val="Normal"/>
    <w:pPr>
      <w:keepLines/>
      <w:tabs>
        <w:tab w:val="clear" w:pos="720"/>
        <w:tab w:val="right" w:pos="9360" w:leader="dot"/>
      </w:tabs>
      <w:spacing w:before="120" w:after="0"/>
      <w:ind w:hanging="720" w:start="2160" w:end="1440"/>
    </w:pPr>
    <w:rPr/>
  </w:style>
  <w:style w:type="paragraph" w:styleId="TOC4">
    <w:name w:val="toc 4"/>
    <w:basedOn w:val="Normal"/>
    <w:pPr>
      <w:keepLines/>
      <w:tabs>
        <w:tab w:val="clear" w:pos="720"/>
        <w:tab w:val="right" w:pos="9360" w:leader="dot"/>
      </w:tabs>
      <w:spacing w:before="120" w:after="0"/>
      <w:ind w:hanging="720" w:start="2880" w:end="1440"/>
    </w:pPr>
    <w:rPr/>
  </w:style>
  <w:style w:type="paragraph" w:styleId="TOC5">
    <w:name w:val="toc 5"/>
    <w:basedOn w:val="Normal"/>
    <w:pPr>
      <w:keepLines/>
      <w:tabs>
        <w:tab w:val="clear" w:pos="720"/>
        <w:tab w:val="right" w:pos="9360" w:leader="dot"/>
      </w:tabs>
      <w:spacing w:before="120" w:after="0"/>
      <w:ind w:hanging="720" w:start="3600" w:end="1440"/>
    </w:pPr>
    <w:rPr/>
  </w:style>
  <w:style w:type="paragraph" w:styleId="TOC6">
    <w:name w:val="toc 6"/>
    <w:basedOn w:val="Normal"/>
    <w:pPr>
      <w:keepLines/>
      <w:tabs>
        <w:tab w:val="clear" w:pos="720"/>
        <w:tab w:val="right" w:pos="9360" w:leader="dot"/>
      </w:tabs>
      <w:spacing w:before="120" w:after="0"/>
      <w:ind w:hanging="720" w:start="4320" w:end="1440"/>
    </w:pPr>
    <w:rPr/>
  </w:style>
  <w:style w:type="paragraph" w:styleId="TOC7">
    <w:name w:val="toc 7"/>
    <w:basedOn w:val="Normal"/>
    <w:pPr>
      <w:keepLines/>
      <w:tabs>
        <w:tab w:val="clear" w:pos="720"/>
        <w:tab w:val="right" w:pos="9360" w:leader="dot"/>
      </w:tabs>
      <w:spacing w:before="120" w:after="0"/>
      <w:ind w:hanging="806" w:start="5126" w:end="1440"/>
    </w:pPr>
    <w:rPr/>
  </w:style>
  <w:style w:type="paragraph" w:styleId="TOC8">
    <w:name w:val="toc 8"/>
    <w:basedOn w:val="Normal"/>
    <w:pPr>
      <w:keepLines/>
      <w:tabs>
        <w:tab w:val="clear" w:pos="720"/>
        <w:tab w:val="right" w:pos="9360" w:leader="dot"/>
      </w:tabs>
      <w:spacing w:before="120" w:after="0"/>
      <w:ind w:hanging="634" w:start="5760" w:end="1440"/>
    </w:pPr>
    <w:rPr/>
  </w:style>
  <w:style w:type="paragraph" w:styleId="TOC9">
    <w:name w:val="toc 9"/>
    <w:basedOn w:val="Normal"/>
    <w:pPr>
      <w:keepLines/>
      <w:tabs>
        <w:tab w:val="clear" w:pos="720"/>
        <w:tab w:val="right" w:pos="9360" w:leader="dot"/>
      </w:tabs>
      <w:spacing w:before="120" w:after="0"/>
      <w:ind w:hanging="720" w:start="6480" w:end="1440"/>
    </w:pPr>
    <w:rPr/>
  </w:style>
  <w:style w:type="paragraph" w:styleId="BodyTextIndent">
    <w:name w:val="Body Text Indent"/>
    <w:basedOn w:val="Normal"/>
    <w:next w:val="BodyText"/>
    <w:pPr>
      <w:ind w:hanging="0" w:start="360" w:end="0"/>
    </w:pPr>
    <w:rPr/>
  </w:style>
  <w:style w:type="paragraph" w:styleId="MacroText">
    <w:name w:val="Macro Text"/>
    <w:qFormat/>
    <w:pPr>
      <w:widowControl w:val="false"/>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HeaderNumbersOld">
    <w:name w:val="HeaderNumbersOld"/>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EnvelopeAddress">
    <w:name w:val="envelope address"/>
    <w:basedOn w:val="Normal"/>
    <w:pPr>
      <w:ind w:hanging="0" w:start="2880" w:end="0"/>
    </w:pPr>
    <w:rPr/>
  </w:style>
  <w:style w:type="paragraph" w:styleId="quotation3">
    <w:name w:val="quotation 3"/>
    <w:basedOn w:val="Normal"/>
    <w:next w:val="Normal"/>
    <w:qFormat/>
    <w:pPr>
      <w:tabs>
        <w:tab w:val="clear" w:pos="720"/>
        <w:tab w:val="left" w:pos="288" w:leader="none"/>
      </w:tabs>
      <w:spacing w:before="200" w:after="40"/>
      <w:ind w:hanging="0" w:start="1728" w:end="720"/>
    </w:pPr>
    <w:rPr/>
  </w:style>
  <w:style w:type="paragraph" w:styleId="bodytext2-list">
    <w:name w:val="body text 2 - list"/>
    <w:basedOn w:val="Normal"/>
    <w:qFormat/>
    <w:pPr>
      <w:tabs>
        <w:tab w:val="clear" w:pos="720"/>
        <w:tab w:val="left" w:pos="288" w:leader="none"/>
        <w:tab w:val="left" w:pos="1296" w:leader="none"/>
      </w:tabs>
      <w:spacing w:lineRule="atLeast" w:line="240" w:before="240" w:after="0"/>
      <w:ind w:hanging="432" w:start="1296" w:end="0"/>
    </w:pPr>
    <w:rPr/>
  </w:style>
  <w:style w:type="paragraph" w:styleId="HeaderNumbers">
    <w:name w:val="HeaderNumbers"/>
    <w:basedOn w:val="Normal"/>
    <w:qFormat/>
    <w:pPr>
      <w:spacing w:lineRule="exact" w:line="480" w:before="720" w:after="0"/>
      <w:ind w:hanging="0" w:start="0" w:end="144"/>
      <w:jc w:val="end"/>
    </w:pPr>
    <w:rPr/>
  </w:style>
  <w:style w:type="paragraph" w:styleId="shirley">
    <w:name w:val="shirley"/>
    <w:basedOn w:val="Heading4"/>
    <w:qFormat/>
    <w:pPr>
      <w:numPr>
        <w:ilvl w:val="0"/>
        <w:numId w:val="0"/>
      </w:numPr>
      <w:ind w:hanging="360" w:start="360" w:end="0"/>
      <w:outlineLvl w:val="9"/>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1.emf"/><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2000-01-05T15:50:00Z</dcterms:created>
  <dc:creator>A Valued Microsoft Customer</dc:creator>
  <dc:description/>
  <dc:language>en-CA</dc:language>
  <cp:lastModifiedBy>A Valued Microsoft Customer</cp:lastModifiedBy>
  <cp:lastPrinted>1996-08-20T21:46:00Z</cp:lastPrinted>
  <dcterms:modified xsi:type="dcterms:W3CDTF">2000-09-12T15:15:00Z</dcterms:modified>
  <cp:revision>3</cp:revision>
  <dc:subject/>
  <dc:title> </dc:title>
</cp:coreProperties>
</file>