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docx" ContentType="application/vnd.openxmlformats-officedocument.wordprocessingml.documen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rPr/>
      </w:pPr>
      <w:r>
        <w:rPr/>
        <w:t>Via email</w:t>
      </w:r>
    </w:p>
    <w:p>
      <w:pPr>
        <w:pStyle w:val="Normal"/>
        <w:ind w:hanging="3600" w:start="3600" w:end="0"/>
        <w:rPr/>
      </w:pPr>
      <w:r>
        <w:rPr/>
        <w:tab/>
        <w:tab/>
        <w:tab/>
        <w:t>August 21, 2001</w:t>
      </w:r>
    </w:p>
    <w:p>
      <w:pPr>
        <w:pStyle w:val="Normal"/>
        <w:ind w:hanging="3600" w:start="3600" w:end="0"/>
        <w:rPr/>
      </w:pPr>
      <w:r>
        <w:rPr/>
      </w:r>
    </w:p>
    <w:p>
      <w:pPr>
        <w:pStyle w:val="Heading1"/>
        <w:rPr>
          <w:i w:val="false"/>
          <w:i w:val="false"/>
          <w:iCs w:val="false"/>
          <w:sz w:val="24"/>
          <w:u w:val="single"/>
        </w:rPr>
      </w:pPr>
      <w:r>
        <w:rPr>
          <w:i w:val="false"/>
          <w:iCs w:val="false"/>
          <w:sz w:val="24"/>
          <w:szCs w:val="20"/>
        </w:rPr>
        <w:t>Enron de Mexico</w:t>
      </w:r>
    </w:p>
    <w:p>
      <w:pPr>
        <w:pStyle w:val="Normal"/>
        <w:ind w:hanging="3600" w:start="3600" w:end="0"/>
        <w:rPr/>
      </w:pPr>
      <w:r>
        <w:rPr/>
        <w:t>Attn: Ing. Jaime Williams</w:t>
      </w:r>
    </w:p>
    <w:p>
      <w:pPr>
        <w:pStyle w:val="Normal"/>
        <w:ind w:hanging="3600" w:start="3600" w:end="0"/>
        <w:rPr>
          <w:i/>
          <w:i/>
          <w:iCs/>
          <w:u w:val="single"/>
        </w:rPr>
      </w:pPr>
      <w:r>
        <w:rPr/>
        <w:t>Director, Risk Management</w:t>
      </w:r>
    </w:p>
    <w:p>
      <w:pPr>
        <w:pStyle w:val="Normal"/>
        <w:autoSpaceDE w:val="false"/>
        <w:rPr>
          <w:szCs w:val="20"/>
        </w:rPr>
      </w:pPr>
      <w:r>
        <w:rPr>
          <w:szCs w:val="20"/>
        </w:rPr>
        <w:t>Edificio Alestra</w:t>
      </w:r>
    </w:p>
    <w:p>
      <w:pPr>
        <w:pStyle w:val="Normal"/>
        <w:autoSpaceDE w:val="false"/>
        <w:rPr>
          <w:szCs w:val="20"/>
        </w:rPr>
      </w:pPr>
      <w:r>
        <w:rPr>
          <w:szCs w:val="20"/>
        </w:rPr>
        <w:t>Av. Lázaro Cárdenas 2321, Ste. 601</w:t>
      </w:r>
    </w:p>
    <w:p>
      <w:pPr>
        <w:pStyle w:val="Normal"/>
        <w:autoSpaceDE w:val="false"/>
        <w:rPr>
          <w:szCs w:val="20"/>
        </w:rPr>
      </w:pPr>
      <w:r>
        <w:rPr>
          <w:szCs w:val="20"/>
        </w:rPr>
        <w:t>Col. Residencial San Agustin</w:t>
      </w:r>
    </w:p>
    <w:p>
      <w:pPr>
        <w:pStyle w:val="Normal"/>
        <w:autoSpaceDE w:val="false"/>
        <w:rPr>
          <w:szCs w:val="20"/>
        </w:rPr>
      </w:pPr>
      <w:r>
        <w:rPr>
          <w:szCs w:val="20"/>
        </w:rPr>
        <w:t>Garza Garcia, N.L. 66260</w:t>
      </w:r>
    </w:p>
    <w:p>
      <w:pPr>
        <w:pStyle w:val="Heading1"/>
        <w:rPr>
          <w:sz w:val="24"/>
          <w:u w:val="single"/>
        </w:rPr>
      </w:pPr>
      <w:r>
        <w:rPr>
          <w:i w:val="false"/>
          <w:iCs w:val="false"/>
          <w:sz w:val="24"/>
          <w:szCs w:val="20"/>
        </w:rPr>
        <w:t>Mexico</w:t>
      </w:r>
    </w:p>
    <w:p>
      <w:pPr>
        <w:pStyle w:val="Normal"/>
        <w:ind w:hanging="3600" w:start="3600" w:end="0"/>
        <w:rPr>
          <w:sz w:val="24"/>
          <w:u w:val="single"/>
        </w:rPr>
      </w:pPr>
      <w:r>
        <w:rPr>
          <w:sz w:val="24"/>
          <w:u w:val="single"/>
        </w:rPr>
      </w:r>
    </w:p>
    <w:p>
      <w:pPr>
        <w:pStyle w:val="Normal"/>
        <w:ind w:hanging="3600" w:start="3600" w:end="0"/>
        <w:rPr/>
      </w:pPr>
      <w:r>
        <w:rPr/>
        <w:t xml:space="preserve">Dear Mr. </w:t>
      </w:r>
      <w:r>
        <w:rPr>
          <w:szCs w:val="20"/>
        </w:rPr>
        <w:t>Williams</w:t>
      </w:r>
      <w:r>
        <w:rPr/>
        <w:t>:</w:t>
      </w:r>
    </w:p>
    <w:p>
      <w:pPr>
        <w:pStyle w:val="Normal"/>
        <w:ind w:hanging="3600" w:start="3600" w:end="0"/>
        <w:rPr/>
      </w:pPr>
      <w:r>
        <w:rPr/>
      </w:r>
    </w:p>
    <w:p>
      <w:pPr>
        <w:pStyle w:val="Normal"/>
        <w:jc w:val="both"/>
        <w:rPr/>
      </w:pPr>
      <w:r>
        <w:rPr/>
        <w:t xml:space="preserve">This Request for Proposal (“RFP”), presented by Electricité de France International (“EDFI”) in consultation with Pace Global Energy Services, LLC (“Pace”), is intended to solicit indicative terms for the procurement of natural gas supply for Rio Bravo IV (the “Project”), an approximately 500 MW combined cycle power generation facility to be located southeast of the city of Reynosa, in the State of Tamaulipas, Mexico. </w:t>
      </w:r>
    </w:p>
    <w:p>
      <w:pPr>
        <w:pStyle w:val="Normal"/>
        <w:jc w:val="both"/>
        <w:rPr/>
      </w:pPr>
      <w:r>
        <w:rPr/>
      </w:r>
    </w:p>
    <w:p>
      <w:pPr>
        <w:pStyle w:val="Normal"/>
        <w:jc w:val="both"/>
        <w:rPr/>
      </w:pPr>
      <w:r>
        <w:rPr/>
        <w:t xml:space="preserve">EDFI is contemplating submitting a bid to build, own, operate and maintain the Project, to the </w:t>
      </w:r>
      <w:r>
        <w:rPr>
          <w:i/>
          <w:iCs/>
        </w:rPr>
        <w:t>Comisión Federal de Electricidad</w:t>
      </w:r>
      <w:r>
        <w:rPr/>
        <w:t xml:space="preserve"> (“CFE”) in response to an international public tender.  EDFI is requesting a 15-year gas supply agreement for the commissioning, testing, start-up, and operation of the Project.  </w:t>
      </w:r>
    </w:p>
    <w:p>
      <w:pPr>
        <w:pStyle w:val="Normal"/>
        <w:jc w:val="both"/>
        <w:rPr/>
      </w:pPr>
      <w:r>
        <w:rPr/>
      </w:r>
    </w:p>
    <w:p>
      <w:pPr>
        <w:pStyle w:val="Normal"/>
        <w:jc w:val="both"/>
        <w:rPr/>
      </w:pPr>
      <w:r>
        <w:rPr/>
        <w:t xml:space="preserve">EDFI requests that </w:t>
      </w:r>
      <w:r>
        <w:rPr>
          <w:szCs w:val="20"/>
        </w:rPr>
        <w:t>Enron de Mexico</w:t>
      </w:r>
      <w:r>
        <w:rPr/>
        <w:t xml:space="preserve"> respond to this indicative but non-binding RFP by no later than close of business (CST) on September 7, 2001.  EDFI will review each response and contact each respondent as soon as possible.  Thereafter, EDFI will work with those suppliers offering the best terms to EDFI to execute a binding Term Sheet prior to the bid deadline.  EDFI shall have no obligation to accept or reject any response to this RFP.</w:t>
      </w:r>
    </w:p>
    <w:p>
      <w:pPr>
        <w:pStyle w:val="Normal"/>
        <w:ind w:hanging="3600" w:start="3600" w:end="0"/>
        <w:jc w:val="both"/>
        <w:rPr/>
      </w:pPr>
      <w:r>
        <w:rPr/>
      </w:r>
    </w:p>
    <w:p>
      <w:pPr>
        <w:pStyle w:val="Normal"/>
        <w:jc w:val="both"/>
        <w:rPr/>
      </w:pPr>
      <w:r>
        <w:rPr/>
        <w:t xml:space="preserve">Your response should be mailed, emailed or faxed to Pace in their Houston office.  Should you have any questions, please contact Mr. John Holcomb at the following address.  </w:t>
      </w:r>
    </w:p>
    <w:p>
      <w:pPr>
        <w:pStyle w:val="Normal"/>
        <w:jc w:val="both"/>
        <w:rPr/>
      </w:pPr>
      <w:r>
        <w:rPr/>
      </w:r>
    </w:p>
    <w:p>
      <w:pPr>
        <w:pStyle w:val="Normal"/>
        <w:ind w:hanging="3600" w:start="2160" w:end="0"/>
        <w:jc w:val="both"/>
        <w:rPr/>
      </w:pPr>
      <w:r>
        <w:rPr/>
        <w:tab/>
        <w:t>Pace Global Energy Services, LLC</w:t>
      </w:r>
    </w:p>
    <w:p>
      <w:pPr>
        <w:pStyle w:val="Normal"/>
        <w:ind w:hanging="3600" w:start="2160" w:end="0"/>
        <w:jc w:val="both"/>
        <w:rPr/>
      </w:pPr>
      <w:r>
        <w:rPr/>
        <w:tab/>
        <w:t>Attn: John H. Holcomb</w:t>
      </w:r>
    </w:p>
    <w:p>
      <w:pPr>
        <w:pStyle w:val="Normal"/>
        <w:ind w:hanging="3600" w:start="2160" w:end="0"/>
        <w:jc w:val="both"/>
        <w:rPr/>
      </w:pPr>
      <w:r>
        <w:rPr/>
        <w:tab/>
        <w:t>5850 San Felipe, Suite 500</w:t>
      </w:r>
    </w:p>
    <w:p>
      <w:pPr>
        <w:pStyle w:val="Normal"/>
        <w:ind w:hanging="3600" w:start="2160" w:end="0"/>
        <w:jc w:val="both"/>
        <w:rPr/>
      </w:pPr>
      <w:r>
        <w:rPr/>
        <w:tab/>
        <w:t>Houston, TX  77057</w:t>
      </w:r>
    </w:p>
    <w:p>
      <w:pPr>
        <w:pStyle w:val="Normal"/>
        <w:ind w:hanging="3600" w:start="2160" w:end="0"/>
        <w:jc w:val="both"/>
        <w:rPr/>
      </w:pPr>
      <w:r>
        <w:rPr/>
        <w:tab/>
        <w:t>Holcombj@paceglobal.com</w:t>
      </w:r>
    </w:p>
    <w:p>
      <w:pPr>
        <w:pStyle w:val="Normal"/>
        <w:ind w:start="2160" w:end="0"/>
        <w:jc w:val="both"/>
        <w:rPr/>
      </w:pPr>
      <w:r>
        <w:rPr/>
        <w:t xml:space="preserve">Fax: 240-209-8004              </w:t>
      </w:r>
    </w:p>
    <w:p>
      <w:pPr>
        <w:pStyle w:val="Normal"/>
        <w:ind w:start="2160" w:end="0"/>
        <w:jc w:val="both"/>
        <w:rPr/>
      </w:pPr>
      <w:r>
        <w:rPr/>
        <w:t>Phone: 713-706-6151</w:t>
      </w:r>
      <w:r>
        <w:br w:type="page"/>
      </w:r>
    </w:p>
    <w:p>
      <w:pPr>
        <w:pStyle w:val="TableofFigures"/>
        <w:tabs>
          <w:tab w:val="clear" w:pos="1170"/>
          <w:tab w:val="clear" w:pos="9350"/>
        </w:tabs>
        <w:rPr>
          <w:rFonts w:ascii="Times New Roman" w:hAnsi="Times New Roman" w:cs="Times New Roman"/>
          <w:lang w:val="en-US" w:eastAsia="en-US"/>
        </w:rPr>
      </w:pPr>
      <w:r>
        <w:rPr>
          <w:rFonts w:cs="Times New Roman" w:ascii="Times New Roman" w:hAnsi="Times New Roman"/>
          <w:lang w:val="en-US" w:eastAsia="en-US"/>
        </w:rPr>
        <w:t xml:space="preserve">EDFI appreciates your efforts and looks forward to receiving a response from you.   </w:t>
      </w:r>
    </w:p>
    <w:p>
      <w:pPr>
        <w:pStyle w:val="Normal"/>
        <w:jc w:val="both"/>
        <w:rPr>
          <w:rFonts w:ascii="Times New Roman" w:hAnsi="Times New Roman" w:cs="Times New Roman"/>
          <w:lang w:val="en-US" w:eastAsia="en-US"/>
        </w:rPr>
      </w:pPr>
      <w:r>
        <w:rPr>
          <w:rFonts w:cs="Times New Roman"/>
          <w:lang w:val="en-US" w:eastAsia="en-US"/>
        </w:rPr>
      </w:r>
    </w:p>
    <w:p>
      <w:pPr>
        <w:pStyle w:val="Normal"/>
        <w:rPr/>
      </w:pPr>
      <w:r>
        <w:rPr/>
        <w:tab/>
        <w:tab/>
        <w:tab/>
        <w:tab/>
        <w:tab/>
        <w:tab/>
        <w:t>Sincerely,</w:t>
      </w:r>
    </w:p>
    <w:p>
      <w:pPr>
        <w:pStyle w:val="Normal"/>
        <w:rPr/>
      </w:pPr>
      <w:r>
        <w:rPr/>
      </w:r>
    </w:p>
    <w:p>
      <w:pPr>
        <w:pStyle w:val="Normal"/>
        <w:rPr/>
      </w:pPr>
      <w:r>
        <w:rPr/>
      </w:r>
    </w:p>
    <w:p>
      <w:pPr>
        <w:pStyle w:val="Normal"/>
        <w:rPr/>
      </w:pPr>
      <w:r>
        <w:rPr/>
      </w:r>
    </w:p>
    <w:p>
      <w:pPr>
        <w:pStyle w:val="Normal"/>
        <w:rPr/>
      </w:pPr>
      <w:r>
        <w:rPr/>
        <w:tab/>
        <w:tab/>
        <w:tab/>
        <w:tab/>
        <w:tab/>
        <w:tab/>
        <w:t>John H. Holcomb</w:t>
      </w:r>
    </w:p>
    <w:p>
      <w:pPr>
        <w:pStyle w:val="Normal"/>
        <w:rPr/>
      </w:pPr>
      <w:r>
        <w:rPr/>
        <w:tab/>
        <w:tab/>
        <w:tab/>
        <w:tab/>
        <w:tab/>
        <w:tab/>
        <w:t>Vice President</w:t>
      </w:r>
    </w:p>
    <w:p>
      <w:pPr>
        <w:pStyle w:val="Normal"/>
        <w:rPr/>
      </w:pPr>
      <w:r>
        <w:rPr/>
        <w:tab/>
        <w:tab/>
        <w:tab/>
        <w:tab/>
        <w:tab/>
        <w:tab/>
        <w:t>Pace Global Energy Services</w:t>
      </w:r>
    </w:p>
    <w:p>
      <w:pPr>
        <w:pStyle w:val="Normal"/>
        <w:ind w:hanging="3600" w:start="3600" w:end="0"/>
        <w:rPr/>
      </w:pPr>
      <w:r>
        <w:rPr/>
        <w:t>Cc: Bertrand Allanic/EDFI</w:t>
      </w:r>
    </w:p>
    <w:p>
      <w:pPr>
        <w:pStyle w:val="Normal"/>
        <w:ind w:hanging="3240" w:start="3600" w:end="0"/>
        <w:rPr/>
      </w:pPr>
      <w:r>
        <w:rPr/>
        <w:t xml:space="preserve"> </w:t>
      </w:r>
      <w:r>
        <w:rPr/>
        <w:t>Maki Yamane/EDFI</w:t>
      </w:r>
    </w:p>
    <w:p>
      <w:pPr>
        <w:pStyle w:val="Normal"/>
        <w:ind w:hanging="3600" w:start="3600" w:end="0"/>
        <w:rPr/>
      </w:pPr>
      <w:r>
        <w:rPr/>
        <w:t xml:space="preserve">       </w:t>
      </w:r>
      <w:r>
        <w:rPr/>
        <w:t>Gregg Shively/Pace</w:t>
      </w:r>
      <w:r>
        <w:br w:type="page"/>
      </w:r>
    </w:p>
    <w:p>
      <w:pPr>
        <w:pStyle w:val="Subtitle"/>
        <w:rPr>
          <w:sz w:val="20"/>
        </w:rPr>
      </w:pPr>
      <w:r>
        <w:rPr>
          <w:sz w:val="20"/>
        </w:rPr>
      </w:r>
    </w:p>
    <w:p>
      <w:pPr>
        <w:pStyle w:val="Subtitle"/>
        <w:rPr/>
      </w:pPr>
      <w:r>
        <w:rPr/>
        <w:t>REQUEST FOR PROPOSAL</w:t>
      </w:r>
    </w:p>
    <w:p>
      <w:pPr>
        <w:pStyle w:val="Subtitle"/>
        <w:rPr/>
      </w:pPr>
      <w:r>
        <w:rPr/>
        <w:t>FOR NATURAL GAS SUPPLY SERVICES</w:t>
      </w:r>
    </w:p>
    <w:p>
      <w:pPr>
        <w:pStyle w:val="Subtitle"/>
        <w:rPr/>
      </w:pPr>
      <w:r>
        <w:rPr/>
        <w:t>RIO BRAVO IV</w:t>
      </w:r>
    </w:p>
    <w:p>
      <w:pPr>
        <w:pStyle w:val="Normal"/>
        <w:rPr/>
      </w:pPr>
      <w:r>
        <w:rPr/>
      </w:r>
    </w:p>
    <w:p>
      <w:pPr>
        <w:pStyle w:val="Normal"/>
        <w:rPr/>
      </w:pPr>
      <w:r>
        <w:rPr/>
      </w:r>
    </w:p>
    <w:p>
      <w:pPr>
        <w:pStyle w:val="Normal"/>
        <w:ind w:hanging="3600" w:start="3600" w:end="0"/>
        <w:rPr/>
      </w:pPr>
      <w:r>
        <w:rPr>
          <w:b/>
          <w:bCs/>
        </w:rPr>
        <w:t>Project:</w:t>
        <w:tab/>
      </w:r>
      <w:r>
        <w:rPr/>
        <w:t xml:space="preserve">The approximately 500 MW Rio Bravo IV power plant being put to bid by the CFE.  </w:t>
      </w:r>
    </w:p>
    <w:p>
      <w:pPr>
        <w:pStyle w:val="Normal"/>
        <w:rPr/>
      </w:pPr>
      <w:r>
        <w:rPr/>
      </w:r>
    </w:p>
    <w:p>
      <w:pPr>
        <w:pStyle w:val="Normal"/>
        <w:tabs>
          <w:tab w:val="clear" w:pos="720"/>
          <w:tab w:val="left" w:pos="3600" w:leader="none"/>
        </w:tabs>
        <w:ind w:hanging="3600" w:start="3600" w:end="0"/>
        <w:rPr/>
      </w:pPr>
      <w:r>
        <w:rPr>
          <w:b/>
        </w:rPr>
        <w:t>Buyer:</w:t>
      </w:r>
      <w:r>
        <w:rPr/>
        <w:tab/>
        <w:t xml:space="preserve">EDF International (“EDFI”). </w:t>
      </w:r>
    </w:p>
    <w:p>
      <w:pPr>
        <w:pStyle w:val="Normal"/>
        <w:tabs>
          <w:tab w:val="clear" w:pos="720"/>
          <w:tab w:val="left" w:pos="3600" w:leader="none"/>
        </w:tabs>
        <w:spacing w:before="120" w:after="0"/>
        <w:ind w:hanging="3600" w:start="3600" w:end="0"/>
        <w:jc w:val="both"/>
        <w:rPr/>
      </w:pPr>
      <w:r>
        <w:rPr/>
        <w:tab/>
        <w:t xml:space="preserve">If awarded the Project, EDFI will establish a project company to build, own, operate and maintain the Project and EDFI, at that time, will assign the fuel supply agreement (“FSA”) to that project company. </w:t>
      </w:r>
      <w:r>
        <w:rPr>
          <w:b/>
        </w:rPr>
        <w:t xml:space="preserve"> </w:t>
      </w:r>
    </w:p>
    <w:p>
      <w:pPr>
        <w:pStyle w:val="Normal"/>
        <w:rPr/>
      </w:pPr>
      <w:r>
        <w:rPr/>
      </w:r>
    </w:p>
    <w:p>
      <w:pPr>
        <w:pStyle w:val="Normal"/>
        <w:tabs>
          <w:tab w:val="clear" w:pos="720"/>
          <w:tab w:val="left" w:pos="3600" w:leader="none"/>
        </w:tabs>
        <w:rPr/>
      </w:pPr>
      <w:r>
        <w:rPr>
          <w:b/>
        </w:rPr>
        <w:t>Seller:</w:t>
      </w:r>
      <w:r>
        <w:rPr/>
        <w:tab/>
      </w:r>
      <w:r>
        <w:rPr>
          <w:szCs w:val="20"/>
        </w:rPr>
        <w:t>Enron de Mexico</w:t>
      </w:r>
    </w:p>
    <w:p>
      <w:pPr>
        <w:pStyle w:val="Header"/>
        <w:tabs>
          <w:tab w:val="clear" w:pos="4320"/>
          <w:tab w:val="clear" w:pos="8640"/>
        </w:tabs>
        <w:rPr/>
      </w:pPr>
      <w:r>
        <w:rPr/>
      </w:r>
    </w:p>
    <w:p>
      <w:pPr>
        <w:pStyle w:val="Normal"/>
        <w:ind w:hanging="3600" w:start="3600" w:end="0"/>
        <w:jc w:val="both"/>
        <w:rPr>
          <w:b/>
        </w:rPr>
      </w:pPr>
      <w:r>
        <w:rPr>
          <w:b/>
        </w:rPr>
        <w:t>Condition Precedent:</w:t>
        <w:tab/>
      </w:r>
      <w:r>
        <w:rPr>
          <w:bCs/>
        </w:rPr>
        <w:t>All obligations of Seller and Buyer are subject to Buyer’s being awarded the bid for the Project by CFE and executing the Power Purchase Agreement (“PPA”) with CFE.</w:t>
      </w:r>
    </w:p>
    <w:p>
      <w:pPr>
        <w:pStyle w:val="Normal"/>
        <w:ind w:hanging="3600" w:start="3600" w:end="0"/>
        <w:jc w:val="both"/>
        <w:rPr>
          <w:b/>
        </w:rPr>
      </w:pPr>
      <w:r>
        <w:rPr>
          <w:b/>
        </w:rPr>
      </w:r>
    </w:p>
    <w:p>
      <w:pPr>
        <w:pStyle w:val="Normal"/>
        <w:ind w:hanging="3600" w:start="3600" w:end="0"/>
        <w:jc w:val="both"/>
        <w:rPr>
          <w:b/>
        </w:rPr>
      </w:pPr>
      <w:r>
        <w:rPr>
          <w:b/>
        </w:rPr>
        <w:t>Fuel:</w:t>
        <w:tab/>
      </w:r>
      <w:r>
        <w:rPr>
          <w:bCs/>
        </w:rPr>
        <w:t xml:space="preserve"> Pipeline quality natural gas.</w:t>
      </w:r>
    </w:p>
    <w:p>
      <w:pPr>
        <w:pStyle w:val="Normal"/>
        <w:ind w:hanging="3600" w:start="3600" w:end="0"/>
        <w:jc w:val="both"/>
        <w:rPr>
          <w:b/>
        </w:rPr>
      </w:pPr>
      <w:r>
        <w:rPr>
          <w:b/>
        </w:rPr>
      </w:r>
    </w:p>
    <w:p>
      <w:pPr>
        <w:pStyle w:val="Normal"/>
        <w:ind w:hanging="3600" w:start="3600" w:end="0"/>
        <w:jc w:val="both"/>
        <w:rPr/>
      </w:pPr>
      <w:r>
        <w:rPr>
          <w:b/>
        </w:rPr>
        <w:t>Effective Date:</w:t>
      </w:r>
      <w:r>
        <w:rPr/>
        <w:tab/>
        <w:t xml:space="preserve">The effective date will be on the date of execution of the FSA, which will be signed simultaneously with the execution of the PPA (power purchase agreement) between EDFI and CFE estimated to be on January 10, 2002.  </w:t>
      </w:r>
    </w:p>
    <w:p>
      <w:pPr>
        <w:pStyle w:val="Normal"/>
        <w:rPr/>
      </w:pPr>
      <w:r>
        <w:rPr/>
      </w:r>
    </w:p>
    <w:p>
      <w:pPr>
        <w:pStyle w:val="Normal"/>
        <w:tabs>
          <w:tab w:val="clear" w:pos="720"/>
          <w:tab w:val="left" w:pos="3600" w:leader="none"/>
        </w:tabs>
        <w:ind w:hanging="3600" w:start="3600" w:end="0"/>
        <w:jc w:val="both"/>
        <w:rPr/>
      </w:pPr>
      <w:r>
        <w:rPr>
          <w:b/>
        </w:rPr>
        <w:t>Term of Agreement:</w:t>
      </w:r>
      <w:r>
        <w:rPr/>
        <w:tab/>
        <w:t>The FSA shall begin on the Effective Date and terminate 15 years following Commercial Operation Date (“COD”) of the Project, which is currently estimated to be April 1, 2005.</w:t>
      </w:r>
    </w:p>
    <w:p>
      <w:pPr>
        <w:pStyle w:val="Normal"/>
        <w:tabs>
          <w:tab w:val="clear" w:pos="720"/>
          <w:tab w:val="left" w:pos="3600" w:leader="none"/>
        </w:tabs>
        <w:rPr>
          <w:b/>
        </w:rPr>
      </w:pPr>
      <w:r>
        <w:rPr>
          <w:b/>
        </w:rPr>
        <w:tab/>
      </w:r>
    </w:p>
    <w:p>
      <w:pPr>
        <w:pStyle w:val="Normal"/>
        <w:tabs>
          <w:tab w:val="clear" w:pos="720"/>
          <w:tab w:val="left" w:pos="3600" w:leader="none"/>
        </w:tabs>
        <w:ind w:hanging="3600" w:start="3600" w:end="0"/>
        <w:jc w:val="both"/>
        <w:rPr/>
      </w:pPr>
      <w:r>
        <w:rPr>
          <w:b/>
        </w:rPr>
        <w:t>Service Description:</w:t>
      </w:r>
      <w:r>
        <w:rPr/>
        <w:tab/>
        <w:t xml:space="preserve">At COD, Seller shall sell Fuel to Buyer at the Point of Sale on a firm basis up to the MDQ, as nominated by Buyer, for the operation of the Project. </w:t>
      </w:r>
    </w:p>
    <w:p>
      <w:pPr>
        <w:pStyle w:val="Normal"/>
        <w:tabs>
          <w:tab w:val="clear" w:pos="720"/>
          <w:tab w:val="left" w:pos="3600" w:leader="none"/>
        </w:tabs>
        <w:ind w:hanging="3600" w:start="3600" w:end="0"/>
        <w:rPr>
          <w:b/>
        </w:rPr>
      </w:pPr>
      <w:r>
        <w:rPr>
          <w:b/>
        </w:rPr>
        <w:t xml:space="preserve">Maximum Daily Quantity </w:t>
      </w:r>
    </w:p>
    <w:p>
      <w:pPr>
        <w:pStyle w:val="Normal"/>
        <w:tabs>
          <w:tab w:val="clear" w:pos="720"/>
          <w:tab w:val="left" w:pos="3600" w:leader="none"/>
        </w:tabs>
        <w:ind w:hanging="3600" w:start="3600" w:end="0"/>
        <w:rPr/>
      </w:pPr>
      <w:r>
        <w:rPr>
          <w:b/>
        </w:rPr>
        <w:t>(“MDQ”):</w:t>
      </w:r>
      <w:r>
        <w:rPr/>
        <w:tab/>
        <w:t xml:space="preserve">The maximum daily quantity (“MDQ”) for the Project is 90,000 MMBtu per day, subject to adjustment at Buyer’s request prior to execution of FSA by +/- 5%.   </w:t>
      </w:r>
    </w:p>
    <w:p>
      <w:pPr>
        <w:pStyle w:val="Normal"/>
        <w:tabs>
          <w:tab w:val="clear" w:pos="720"/>
          <w:tab w:val="left" w:pos="3600" w:leader="none"/>
        </w:tabs>
        <w:ind w:hanging="3600" w:start="3600" w:end="0"/>
        <w:rPr>
          <w:b/>
        </w:rPr>
      </w:pPr>
      <w:r>
        <w:rPr>
          <w:b/>
        </w:rPr>
        <w:t xml:space="preserve">Minimum Daily Quantity </w:t>
      </w:r>
    </w:p>
    <w:p>
      <w:pPr>
        <w:pStyle w:val="Normal"/>
        <w:tabs>
          <w:tab w:val="clear" w:pos="720"/>
          <w:tab w:val="left" w:pos="3600" w:leader="none"/>
        </w:tabs>
        <w:ind w:hanging="3600" w:start="3600" w:end="0"/>
        <w:jc w:val="both"/>
        <w:rPr/>
      </w:pPr>
      <w:r>
        <w:rPr>
          <w:b/>
        </w:rPr>
        <w:t>(“MinDQ”):</w:t>
      </w:r>
      <w:r>
        <w:rPr/>
        <w:tab/>
        <w:t>The minimum daily quantity (“MinDQ”) for the Project is 40,000 MMBtu per day.  Buyer shall be obligated to use or pay for this quantity of Fuel each day during the Term of the Agreement regardless whether gas is nominated or consumed, except during periods of scheduled maintenance not to exceed 21 days per year.</w:t>
      </w:r>
    </w:p>
    <w:p>
      <w:pPr>
        <w:pStyle w:val="Normal"/>
        <w:tabs>
          <w:tab w:val="clear" w:pos="720"/>
          <w:tab w:val="left" w:pos="3600" w:leader="none"/>
        </w:tabs>
        <w:ind w:hanging="3600" w:start="3600" w:end="0"/>
        <w:jc w:val="both"/>
        <w:rPr/>
      </w:pPr>
      <w:r>
        <w:rPr/>
        <w:t xml:space="preserve">  </w:t>
      </w:r>
    </w:p>
    <w:p>
      <w:pPr>
        <w:pStyle w:val="Normal"/>
        <w:ind w:hanging="3600" w:start="3600" w:end="0"/>
        <w:jc w:val="both"/>
        <w:rPr/>
      </w:pPr>
      <w:r>
        <w:rPr>
          <w:b/>
        </w:rPr>
        <w:tab/>
      </w:r>
      <w:r>
        <w:rPr/>
        <w:t xml:space="preserve">Buyer shall have the right to resell to Seller or to any third party any quantities of Fuel not utilized by Buyer up to the MinDQ according to commercially reasonable resell and nominations procedures to be agreed upon prior to execution of the FSA.  </w:t>
      </w:r>
    </w:p>
    <w:p>
      <w:pPr>
        <w:pStyle w:val="Normal"/>
        <w:ind w:hanging="3600" w:start="3600" w:end="0"/>
        <w:jc w:val="both"/>
        <w:rPr>
          <w:b/>
        </w:rPr>
      </w:pPr>
      <w:r>
        <w:rPr>
          <w:b/>
        </w:rPr>
      </w:r>
    </w:p>
    <w:p>
      <w:pPr>
        <w:pStyle w:val="Normal"/>
        <w:ind w:hanging="3600" w:start="3600" w:end="0"/>
        <w:jc w:val="both"/>
        <w:rPr/>
      </w:pPr>
      <w:r>
        <w:rPr>
          <w:b/>
        </w:rPr>
        <w:t>Point of Sale:</w:t>
      </w:r>
      <w:r>
        <w:rPr/>
        <w:tab/>
        <w:t xml:space="preserve">The Point of Sale shall be at a point either; a) where gas is delivered into the Tennessee Gas Pipeline System (“TGP”) within TGP’s Zone 0 pipeline segment, or b) authorized by pooling agreements on TGP’s pipeline system at TGP’s Zone 0 pipeline segment.  </w:t>
      </w:r>
    </w:p>
    <w:p>
      <w:pPr>
        <w:pStyle w:val="Normal"/>
        <w:ind w:hanging="3600" w:start="3600" w:end="0"/>
        <w:jc w:val="both"/>
        <w:rPr>
          <w:b/>
          <w:bCs/>
        </w:rPr>
      </w:pPr>
      <w:r>
        <w:rPr>
          <w:b/>
          <w:bCs/>
        </w:rPr>
      </w:r>
    </w:p>
    <w:p>
      <w:pPr>
        <w:pStyle w:val="Normal"/>
        <w:ind w:hanging="3600" w:start="3600" w:end="0"/>
        <w:jc w:val="both"/>
        <w:rPr/>
      </w:pPr>
      <w:r>
        <w:rPr>
          <w:b/>
          <w:bCs/>
        </w:rPr>
        <w:t>Transportation:</w:t>
      </w:r>
      <w:r>
        <w:rPr/>
        <w:t xml:space="preserve"> </w:t>
        <w:tab/>
        <w:t xml:space="preserve">Buyer shall be responsible for transporting gas from the Point of Sale to the Project.  Buyer will contract with TGP for transportation and may assign such transportation to Seller.  If Buyer assigns the transportation on TGP to Seller, all cost associated with transportation on TGP will be a pass-through from Seller to Buyer.  In any event, Seller agrees to manage nominations and imbalances on TGP between the Point of Sale and the ultimate point of delivery by TGP, which is anticipated to be between TGP and the Rio Bravo Pipeline, a pipeline in Mexico currently under development to transport gas from TGP to the Project.    </w:t>
      </w:r>
    </w:p>
    <w:p>
      <w:pPr>
        <w:pStyle w:val="Normal"/>
        <w:tabs>
          <w:tab w:val="clear" w:pos="720"/>
          <w:tab w:val="left" w:pos="3600" w:leader="none"/>
        </w:tabs>
        <w:ind w:hanging="3600" w:start="3600" w:end="0"/>
        <w:rPr/>
      </w:pPr>
      <w:r>
        <w:rPr/>
      </w:r>
    </w:p>
    <w:p>
      <w:pPr>
        <w:pStyle w:val="Heading2"/>
        <w:tabs>
          <w:tab w:val="clear" w:pos="720"/>
          <w:tab w:val="left" w:pos="2160" w:leader="none"/>
        </w:tabs>
        <w:spacing w:before="0" w:after="0"/>
        <w:ind w:hanging="3600" w:start="3600" w:end="0"/>
        <w:jc w:val="both"/>
        <w:rPr/>
      </w:pPr>
      <w:r>
        <w:rPr>
          <w:b/>
        </w:rPr>
        <w:t xml:space="preserve">Fuel Quality: </w:t>
        <w:tab/>
        <w:tab/>
      </w:r>
      <w:r>
        <w:rPr>
          <w:lang w:val="en-US"/>
        </w:rPr>
        <w:t xml:space="preserve">Fuel tendered to Buyer at the Point of Sale shall satisfy  the prevailing quality standards specified in TGP’s General Terms and Conditions of Transportation Service and the </w:t>
      </w:r>
      <w:r>
        <w:rPr>
          <w:i/>
          <w:lang w:val="en-US"/>
        </w:rPr>
        <w:t>Norma Oficial Mexicana</w:t>
      </w:r>
      <w:r>
        <w:rPr>
          <w:lang w:val="en-US"/>
        </w:rPr>
        <w:t xml:space="preserve"> NOM-001-SECRE-1997.  </w:t>
      </w:r>
    </w:p>
    <w:p>
      <w:pPr>
        <w:pStyle w:val="BodyTextIndent"/>
        <w:ind w:hanging="3600" w:start="3600" w:end="0"/>
        <w:rPr>
          <w:b/>
          <w:bCs/>
        </w:rPr>
      </w:pPr>
      <w:r>
        <w:rPr>
          <w:b/>
        </w:rPr>
        <w:t>Fuel Nominations:</w:t>
      </w:r>
      <w:r>
        <w:rPr/>
        <w:tab/>
        <w:t xml:space="preserve">Beginning when the Test Fuel period commences, Buyer shall nominate Fuel quantities to Seller on the business day prior to each day which gas is required to be delivered to the Point of Sale in accordance with industry standard pipeline nomination procedures. </w:t>
      </w:r>
    </w:p>
    <w:p>
      <w:pPr>
        <w:pStyle w:val="Normal"/>
        <w:ind w:hanging="3600" w:start="3600" w:end="0"/>
        <w:rPr>
          <w:b/>
          <w:bCs/>
        </w:rPr>
      </w:pPr>
      <w:r>
        <w:rPr>
          <w:b/>
          <w:bCs/>
        </w:rPr>
      </w:r>
    </w:p>
    <w:p>
      <w:pPr>
        <w:pStyle w:val="Heading2"/>
        <w:tabs>
          <w:tab w:val="clear" w:pos="720"/>
          <w:tab w:val="left" w:pos="2160" w:leader="none"/>
        </w:tabs>
        <w:spacing w:before="0" w:after="0"/>
        <w:ind w:hanging="3600" w:start="3600" w:end="0"/>
        <w:jc w:val="both"/>
        <w:rPr/>
      </w:pPr>
      <w:r>
        <w:rPr>
          <w:b/>
        </w:rPr>
        <w:t>Test Fuel:</w:t>
        <w:tab/>
        <w:tab/>
      </w:r>
      <w:r>
        <w:rPr>
          <w:bCs/>
        </w:rPr>
        <w:t>Seller agrees to sell Fuel, up to the MDQ, to Buyer on a best efforts basis, up to nine (9) months prior</w:t>
      </w:r>
      <w:r>
        <w:rPr>
          <w:lang w:val="en-US"/>
        </w:rPr>
        <w:t xml:space="preserve"> to the scheduled COD,  for the start-up, commissioning, and testing of the Project. </w:t>
      </w:r>
    </w:p>
    <w:p>
      <w:pPr>
        <w:pStyle w:val="Heading2"/>
        <w:tabs>
          <w:tab w:val="clear" w:pos="720"/>
          <w:tab w:val="left" w:pos="2160" w:leader="none"/>
        </w:tabs>
        <w:spacing w:before="120" w:after="0"/>
        <w:ind w:hanging="3600" w:start="3600" w:end="0"/>
        <w:jc w:val="both"/>
        <w:rPr/>
      </w:pPr>
      <w:r>
        <w:rPr/>
        <w:tab/>
        <w:tab/>
        <w:tab/>
        <w:tab/>
        <w:tab/>
      </w:r>
    </w:p>
    <w:p>
      <w:pPr>
        <w:pStyle w:val="Normal"/>
        <w:tabs>
          <w:tab w:val="clear" w:pos="720"/>
          <w:tab w:val="left" w:pos="3600" w:leader="none"/>
        </w:tabs>
        <w:ind w:hanging="3600" w:start="3600" w:end="0"/>
        <w:jc w:val="both"/>
        <w:rPr/>
      </w:pPr>
      <w:r>
        <w:rPr>
          <w:b/>
        </w:rPr>
        <w:t>Fuel Price:</w:t>
      </w:r>
      <w:r>
        <w:rPr/>
        <w:tab/>
        <w:t>Buyer requests the price for Fuel to be quoted and expressed in $/MMBtu (USD) and calculated in accordance to the following formula (the “</w:t>
      </w:r>
      <w:r>
        <w:rPr>
          <w:u w:val="single"/>
        </w:rPr>
        <w:t>Fuel Price</w:t>
      </w:r>
      <w:r>
        <w:rPr/>
        <w:t xml:space="preserve">”): </w:t>
      </w:r>
    </w:p>
    <w:p>
      <w:pPr>
        <w:pStyle w:val="NormalJustified"/>
        <w:spacing w:before="240" w:after="0"/>
        <w:ind w:start="3600" w:end="0"/>
        <w:rPr/>
      </w:pPr>
      <w:r>
        <w:rPr/>
      </w:r>
      <m:oMath xmlns:m="http://schemas.openxmlformats.org/officeDocument/2006/math">
        <m:sSub>
          <m:e>
            <m:r>
              <m:rPr>
                <m:lit/>
                <m:nor/>
              </m:rPr>
              <m:t xml:space="preserve">TGC</m:t>
            </m:r>
          </m:e>
          <m:sub>
            <m:r>
              <m:rPr>
                <m:lit/>
                <m:nor/>
              </m:rPr>
              <m:t xml:space="preserve">US</m:t>
            </m:r>
            <m:r>
              <m:t xml:space="preserve">$</m:t>
            </m:r>
          </m:sub>
        </m:sSub>
        <m:r>
          <m:t xml:space="preserve">=</m:t>
        </m:r>
        <m:nary>
          <m:naryPr>
            <m:chr m:val="∑"/>
          </m:naryPr>
          <m:sub>
            <m:r>
              <m:t xml:space="preserve">d</m:t>
            </m:r>
            <m:r>
              <m:t xml:space="preserve">=</m:t>
            </m:r>
            <m:r>
              <m:t xml:space="preserve">1</m:t>
            </m:r>
          </m:sub>
          <m:sup>
            <m:r>
              <m:t xml:space="preserve">d</m:t>
            </m:r>
            <m:r>
              <m:t xml:space="preserve">=</m:t>
            </m:r>
            <m:r>
              <m:t xml:space="preserve">m</m:t>
            </m:r>
          </m:sup>
          <m:e>
            <m:r>
              <m:t xml:space="preserve">[</m:t>
            </m:r>
            <m:r>
              <m:t xml:space="preserve">(</m:t>
            </m:r>
            <m:r>
              <m:rPr>
                <m:lit/>
                <m:nor/>
              </m:rPr>
              <m:t xml:space="preserve">MinDQ</m:t>
            </m:r>
            <m:r>
              <m:t xml:space="preserve">+</m:t>
            </m:r>
            <m:sSub>
              <m:e>
                <m:r>
                  <m:t xml:space="preserve">Q</m:t>
                </m:r>
              </m:e>
              <m:sub>
                <m:r>
                  <m:t xml:space="preserve">d</m:t>
                </m:r>
              </m:sub>
            </m:sSub>
            <m:r>
              <m:t xml:space="preserve">)</m:t>
            </m:r>
            <m:r>
              <m:t xml:space="preserve">∗</m:t>
            </m:r>
            <m:r>
              <m:t xml:space="preserve">(</m:t>
            </m:r>
            <m:sSub>
              <m:e>
                <m:r>
                  <m:rPr>
                    <m:lit/>
                    <m:nor/>
                  </m:rPr>
                  <m:t xml:space="preserve">INDEX</m:t>
                </m:r>
              </m:e>
              <m:sub>
                <m:r>
                  <m:t xml:space="preserve">d</m:t>
                </m:r>
              </m:sub>
            </m:sSub>
            <m:r>
              <m:t xml:space="preserve">∗</m:t>
            </m:r>
            <m:r>
              <m:t xml:space="preserve">K</m:t>
            </m:r>
            <m:r>
              <m:t xml:space="preserve">)</m:t>
            </m:r>
          </m:e>
        </m:nary>
        <m:r>
          <m:t xml:space="preserve">]</m:t>
        </m:r>
      </m:oMath>
      <w:r>
        <w:rPr>
          <w:rFonts w:eastAsia="Times New Roman"/>
        </w:rPr>
        <w:t xml:space="preserve">  </w:t>
      </w:r>
    </w:p>
    <w:p>
      <w:pPr>
        <w:pStyle w:val="NormalJustified"/>
        <w:spacing w:before="240" w:after="0"/>
        <w:ind w:start="3600" w:end="0"/>
        <w:rPr/>
      </w:pPr>
      <w:r>
        <w:rPr/>
        <w:t>where:</w:t>
      </w:r>
    </w:p>
    <w:p>
      <w:pPr>
        <w:pStyle w:val="NormalJustified"/>
        <w:tabs>
          <w:tab w:val="clear" w:pos="720"/>
          <w:tab w:val="left" w:pos="1890" w:leader="none"/>
          <w:tab w:val="left" w:pos="2430" w:leader="none"/>
        </w:tabs>
        <w:spacing w:before="240" w:after="0"/>
        <w:ind w:hanging="1440" w:start="5040" w:end="0"/>
        <w:rPr/>
      </w:pPr>
      <w:r>
        <w:rPr>
          <w:b/>
        </w:rPr>
        <w:t>TGC</w:t>
      </w:r>
      <w:r>
        <w:rPr>
          <w:b/>
          <w:vertAlign w:val="subscript"/>
        </w:rPr>
        <w:t xml:space="preserve">US$   </w:t>
      </w:r>
      <w:r>
        <w:rPr/>
        <w:t>=</w:t>
        <w:tab/>
        <w:t>Total monthly Fuel cost paid in US$</w:t>
      </w:r>
    </w:p>
    <w:p>
      <w:pPr>
        <w:pStyle w:val="NormalJustified"/>
        <w:tabs>
          <w:tab w:val="clear" w:pos="720"/>
          <w:tab w:val="left" w:pos="1890" w:leader="none"/>
          <w:tab w:val="left" w:pos="2430" w:leader="none"/>
        </w:tabs>
        <w:spacing w:before="120" w:after="0"/>
        <w:ind w:hanging="1440" w:start="5040" w:end="0"/>
        <w:rPr/>
      </w:pPr>
      <w:r>
        <w:rPr>
          <w:b/>
        </w:rPr>
        <w:t>MinDQ   =</w:t>
        <w:tab/>
      </w:r>
      <w:r>
        <w:rPr>
          <w:bCs/>
        </w:rPr>
        <w:t>40,000 MMBtu per day</w:t>
      </w:r>
    </w:p>
    <w:p>
      <w:pPr>
        <w:pStyle w:val="NormalJustified"/>
        <w:tabs>
          <w:tab w:val="clear" w:pos="720"/>
          <w:tab w:val="left" w:pos="1890" w:leader="none"/>
          <w:tab w:val="left" w:pos="2430" w:leader="none"/>
        </w:tabs>
        <w:spacing w:before="120" w:after="0"/>
        <w:ind w:hanging="1440" w:start="5040" w:end="0"/>
        <w:rPr/>
      </w:pPr>
      <w:r>
        <w:rPr>
          <w:b/>
        </w:rPr>
        <w:t>Q</w:t>
      </w:r>
      <w:r>
        <w:rPr>
          <w:b/>
          <w:vertAlign w:val="subscript"/>
        </w:rPr>
        <w:t xml:space="preserve">d                 </w:t>
      </w:r>
      <w:r>
        <w:rPr/>
        <w:t>=</w:t>
        <w:tab/>
        <w:t>Actual metered daily quantities of Fuel in MMBtus at the Point of Sale above the MinDQ except as otherwise specified herein.</w:t>
      </w:r>
    </w:p>
    <w:p>
      <w:pPr>
        <w:pStyle w:val="NormalJustified"/>
        <w:tabs>
          <w:tab w:val="clear" w:pos="720"/>
          <w:tab w:val="left" w:pos="1890" w:leader="none"/>
          <w:tab w:val="left" w:pos="2430" w:leader="none"/>
        </w:tabs>
        <w:spacing w:before="120" w:after="0"/>
        <w:ind w:hanging="1440" w:start="5040" w:end="0"/>
        <w:rPr/>
      </w:pPr>
      <w:r>
        <w:rPr>
          <w:b/>
        </w:rPr>
        <w:t>INDEX</w:t>
      </w:r>
      <w:r>
        <w:rPr>
          <w:b/>
          <w:vertAlign w:val="subscript"/>
        </w:rPr>
        <w:t xml:space="preserve">d   </w:t>
      </w:r>
      <w:r>
        <w:rPr/>
        <w:t>=</w:t>
        <w:tab/>
        <w:t>The daily arithmetic average, expressed in US$/MMBtu, of (1) Houston Ship Channel under the heading East-Houston-Katy and (2) Tennessee under the heading South-Corpus Christi, as reported in Gas Daily, under the Daily Price Survey, for the corresponding Flow Date(s), Midpoint column (the “</w:t>
      </w:r>
      <w:r>
        <w:rPr>
          <w:u w:val="single"/>
        </w:rPr>
        <w:t>Gas Price Index</w:t>
      </w:r>
      <w:r>
        <w:rPr/>
        <w:t>”)</w:t>
      </w:r>
    </w:p>
    <w:p>
      <w:pPr>
        <w:pStyle w:val="NormalJustified"/>
        <w:tabs>
          <w:tab w:val="clear" w:pos="720"/>
          <w:tab w:val="left" w:pos="1890" w:leader="none"/>
          <w:tab w:val="left" w:pos="2430" w:leader="none"/>
        </w:tabs>
        <w:spacing w:before="120" w:after="0"/>
        <w:ind w:hanging="1440" w:start="5040" w:end="0"/>
        <w:rPr/>
      </w:pPr>
      <w:r>
        <w:rPr>
          <w:b/>
        </w:rPr>
        <w:t xml:space="preserve">K              </w:t>
      </w:r>
      <w:r>
        <w:rPr/>
        <w:t>=</w:t>
        <w:tab/>
        <w:t>The K factor to the INDEX</w:t>
      </w:r>
      <w:r>
        <w:rPr>
          <w:vertAlign w:val="subscript"/>
        </w:rPr>
        <w:t>d</w:t>
      </w:r>
      <w:r>
        <w:rPr/>
        <w:t xml:space="preserve">, measured as a percentage, equal to </w:t>
      </w:r>
      <w:r>
        <w:rPr>
          <w:b/>
          <w:bCs/>
        </w:rPr>
        <w:t>________ percent (_____%).</w:t>
      </w:r>
    </w:p>
    <w:p>
      <w:pPr>
        <w:pStyle w:val="Heading2"/>
        <w:tabs>
          <w:tab w:val="clear" w:pos="720"/>
          <w:tab w:val="left" w:pos="2160" w:leader="none"/>
        </w:tabs>
        <w:spacing w:before="0" w:after="0"/>
        <w:ind w:hanging="3600" w:start="3600" w:end="0"/>
        <w:jc w:val="both"/>
        <w:rPr/>
      </w:pPr>
      <w:r>
        <w:rPr/>
        <w:tab/>
        <w:tab/>
        <w:tab/>
        <w:tab/>
        <w:tab/>
        <w:tab/>
      </w:r>
    </w:p>
    <w:p>
      <w:pPr>
        <w:pStyle w:val="Heading2"/>
        <w:tabs>
          <w:tab w:val="clear" w:pos="720"/>
          <w:tab w:val="left" w:pos="2160" w:leader="none"/>
        </w:tabs>
        <w:spacing w:before="0" w:after="0"/>
        <w:ind w:hanging="3600" w:start="3600" w:end="0"/>
        <w:jc w:val="both"/>
        <w:rPr/>
      </w:pPr>
      <w:r>
        <w:rPr/>
        <w:tab/>
        <w:tab/>
        <w:t xml:space="preserve">The Fuel Price will be also be used for Test Fuel, but there will be no MinDQ.  </w:t>
      </w:r>
    </w:p>
    <w:p>
      <w:pPr>
        <w:pStyle w:val="Heading2"/>
        <w:tabs>
          <w:tab w:val="clear" w:pos="720"/>
          <w:tab w:val="left" w:pos="2160" w:leader="none"/>
        </w:tabs>
        <w:spacing w:before="0" w:after="0"/>
        <w:ind w:hanging="3600" w:start="3600" w:end="0"/>
        <w:jc w:val="both"/>
        <w:rPr/>
      </w:pPr>
      <w:r>
        <w:rPr/>
        <w:tab/>
      </w:r>
    </w:p>
    <w:p>
      <w:pPr>
        <w:pStyle w:val="Heading2"/>
        <w:tabs>
          <w:tab w:val="clear" w:pos="720"/>
          <w:tab w:val="left" w:pos="2160" w:leader="none"/>
        </w:tabs>
        <w:spacing w:before="0" w:after="0"/>
        <w:ind w:hanging="3600" w:start="3600" w:end="0"/>
        <w:jc w:val="both"/>
        <w:rPr/>
      </w:pPr>
      <w:r>
        <w:rPr/>
        <w:tab/>
        <w:tab/>
        <w:t xml:space="preserve">The Fuel Price assumes a pool to pool transfer on the TGP system and does not include any additional add-on for transportation costs for delivery of the Fuel on TGP system downstream of the Point of Sale.  </w:t>
      </w:r>
    </w:p>
    <w:p>
      <w:pPr>
        <w:pStyle w:val="Heading2"/>
        <w:tabs>
          <w:tab w:val="clear" w:pos="720"/>
          <w:tab w:val="left" w:pos="2160" w:leader="none"/>
        </w:tabs>
        <w:spacing w:before="0" w:after="0"/>
        <w:ind w:hanging="3600" w:start="3600" w:end="0"/>
        <w:jc w:val="both"/>
        <w:rPr>
          <w:b/>
        </w:rPr>
      </w:pPr>
      <w:r>
        <w:rPr>
          <w:b/>
        </w:rPr>
      </w:r>
    </w:p>
    <w:p>
      <w:pPr>
        <w:pStyle w:val="Heading2"/>
        <w:tabs>
          <w:tab w:val="clear" w:pos="720"/>
          <w:tab w:val="left" w:pos="2160" w:leader="none"/>
        </w:tabs>
        <w:spacing w:before="0" w:after="0"/>
        <w:ind w:hanging="3600" w:start="3600" w:end="0"/>
        <w:jc w:val="both"/>
        <w:rPr/>
      </w:pPr>
      <w:r>
        <w:rPr>
          <w:b/>
        </w:rPr>
        <w:t>Taxes:</w:t>
      </w:r>
      <w:r>
        <w:rPr/>
        <w:tab/>
        <w:tab/>
        <w:t xml:space="preserve">The Fuel Price specified herein shall be inclusive of any and all taxes up to and at the Point of Sale, which shall be the sole responsibility of Seller.  </w:t>
      </w:r>
    </w:p>
    <w:p>
      <w:pPr>
        <w:pStyle w:val="Heading2"/>
        <w:tabs>
          <w:tab w:val="clear" w:pos="720"/>
          <w:tab w:val="left" w:pos="2160" w:leader="none"/>
        </w:tabs>
        <w:spacing w:before="0" w:after="0"/>
        <w:ind w:hanging="3600" w:start="3600" w:end="0"/>
        <w:jc w:val="both"/>
        <w:rPr>
          <w:lang w:val="en-US"/>
        </w:rPr>
      </w:pPr>
      <w:r>
        <w:rPr>
          <w:lang w:val="en-US"/>
        </w:rPr>
      </w:r>
    </w:p>
    <w:p>
      <w:pPr>
        <w:pStyle w:val="Heading2"/>
        <w:tabs>
          <w:tab w:val="clear" w:pos="720"/>
          <w:tab w:val="left" w:pos="2160" w:leader="none"/>
        </w:tabs>
        <w:spacing w:before="0" w:after="0"/>
        <w:ind w:hanging="3600" w:start="3600" w:end="0"/>
        <w:jc w:val="both"/>
        <w:rPr/>
      </w:pPr>
      <w:r>
        <w:rPr>
          <w:b/>
        </w:rPr>
        <w:t>Title of Fuel:</w:t>
      </w:r>
      <w:r>
        <w:rPr/>
        <w:tab/>
        <w:tab/>
      </w:r>
      <w:r>
        <w:rPr>
          <w:lang w:val="en-US"/>
        </w:rPr>
        <w:t>Seller shall warrant defensible title to the Fuel delivered to the Point of Sale and warrant that Seller has the right to sell the Fuel and that such Fuel is free of liens, encumbrances, and adverse claims of every kind. Possession of and title to the Fuel delivered shall pass to Buyer at the Point of Sale.</w:t>
      </w:r>
    </w:p>
    <w:p>
      <w:pPr>
        <w:pStyle w:val="Header"/>
        <w:tabs>
          <w:tab w:val="clear" w:pos="4320"/>
          <w:tab w:val="clear" w:pos="8640"/>
        </w:tabs>
        <w:rPr>
          <w:lang w:val="en-US"/>
        </w:rPr>
      </w:pPr>
      <w:r>
        <w:rPr>
          <w:lang w:val="en-US"/>
        </w:rPr>
      </w:r>
    </w:p>
    <w:p>
      <w:pPr>
        <w:pStyle w:val="Heading2"/>
        <w:tabs>
          <w:tab w:val="clear" w:pos="720"/>
          <w:tab w:val="left" w:pos="2160" w:leader="none"/>
        </w:tabs>
        <w:spacing w:before="0" w:after="0"/>
        <w:ind w:hanging="3600" w:start="3600" w:end="0"/>
        <w:jc w:val="both"/>
        <w:rPr/>
      </w:pPr>
      <w:r>
        <w:rPr>
          <w:b/>
        </w:rPr>
        <w:t>Coordination with Lenders:</w:t>
      </w:r>
      <w:r>
        <w:rPr/>
        <w:tab/>
      </w:r>
      <w:r>
        <w:rPr>
          <w:lang w:val="en-US"/>
        </w:rPr>
        <w:t xml:space="preserve">Seller shall cooperate with the financial institutions that Buyer engages to provide financing and/or insurance for the construction, ownership, and operation of the Project (“Lenders”) to (i) supply such information and documentation, (ii) grant such written consents to the assignment of the FSA as may be reasonably required in connection with the execution and delivery of such  agreement, and (iii) agree to amendments to the FSA requested by the Lenders to the extent such amendments do not materially increase Seller’s obligations under the FSA. </w:t>
      </w:r>
    </w:p>
    <w:p>
      <w:pPr>
        <w:pStyle w:val="Heading2"/>
        <w:tabs>
          <w:tab w:val="clear" w:pos="720"/>
          <w:tab w:val="left" w:pos="2160" w:leader="none"/>
        </w:tabs>
        <w:spacing w:before="120" w:after="0"/>
        <w:ind w:hanging="3600" w:start="3600" w:end="0"/>
        <w:jc w:val="both"/>
        <w:rPr>
          <w:lang w:val="en-US"/>
        </w:rPr>
      </w:pPr>
      <w:r>
        <w:rPr>
          <w:lang w:val="en-US"/>
        </w:rPr>
        <w:tab/>
        <w:tab/>
        <w:t>Seller shall be responsible for securing adequate supplies of Fuel for performance of its obligations hereunder.  Seller shall provide Buyer or Lenders with such further assurances as Buyer or Lenders may reasonably request from time to time regarding Seller’s ability to perform hereunder.</w:t>
      </w:r>
    </w:p>
    <w:p>
      <w:pPr>
        <w:pStyle w:val="IndexHeading"/>
        <w:rPr>
          <w:rFonts w:ascii="Times New Roman" w:hAnsi="Times New Roman" w:cs="Times New Roman"/>
          <w:bCs w:val="false"/>
          <w:lang w:val="en-US"/>
        </w:rPr>
      </w:pPr>
      <w:r>
        <w:rPr>
          <w:rFonts w:cs="Times New Roman" w:ascii="Times New Roman" w:hAnsi="Times New Roman"/>
          <w:bCs w:val="false"/>
          <w:lang w:val="en-US"/>
        </w:rPr>
      </w:r>
    </w:p>
    <w:p>
      <w:pPr>
        <w:pStyle w:val="Normal"/>
        <w:tabs>
          <w:tab w:val="clear" w:pos="720"/>
          <w:tab w:val="left" w:pos="3600" w:leader="none"/>
        </w:tabs>
        <w:ind w:hanging="3600" w:start="3600" w:end="0"/>
        <w:jc w:val="both"/>
        <w:rPr/>
      </w:pPr>
      <w:r>
        <w:rPr>
          <w:b/>
          <w:bCs/>
        </w:rPr>
        <w:t>Liquidated Damages:</w:t>
      </w:r>
      <w:r>
        <w:rPr>
          <w:color w:val="0000FF"/>
        </w:rPr>
        <w:tab/>
      </w:r>
      <w:r>
        <w:rPr/>
        <w:t>Seller will be responsible for liquidated damages related Seller’s failure to deliver nominated quantities or failure to deliver Fuel at the agreed quality and pressure at the Point of Sale for reasons other than Force Majeure.  Buyer’s remedies for such failure are:</w:t>
      </w:r>
    </w:p>
    <w:p>
      <w:pPr>
        <w:pStyle w:val="BodyTextIndent3"/>
        <w:numPr>
          <w:ilvl w:val="0"/>
          <w:numId w:val="12"/>
        </w:numPr>
        <w:tabs>
          <w:tab w:val="clear" w:pos="720"/>
          <w:tab w:val="left" w:pos="3600" w:leader="none"/>
        </w:tabs>
        <w:spacing w:before="120" w:after="0"/>
        <w:rPr>
          <w:b/>
        </w:rPr>
      </w:pPr>
      <w:r>
        <w:rPr>
          <w:bCs/>
        </w:rPr>
        <w:t>In such event Buyer’s purchase of replacement supply is at a price above the Fuel Price, Seller will be required to pay Buyer each day for Buyer’s cost of covering Seller’s non-performance which is defined as the difference between (a) the weighted average price of replacement supply at the Point of Sale and (b) the Fuel Price for the same day plus administrative costs incurred by Buyer (not to exceed $0.10/MMBtu) multiplied by the quantity that Buyer was forced to purchase as a result of Seller’s failure to deliver on such day.</w:t>
      </w:r>
    </w:p>
    <w:p>
      <w:pPr>
        <w:pStyle w:val="BodyTextIndent3"/>
        <w:numPr>
          <w:ilvl w:val="0"/>
          <w:numId w:val="12"/>
        </w:numPr>
        <w:tabs>
          <w:tab w:val="clear" w:pos="720"/>
          <w:tab w:val="left" w:pos="3600" w:leader="none"/>
        </w:tabs>
        <w:spacing w:before="120" w:after="0"/>
        <w:rPr>
          <w:b/>
        </w:rPr>
      </w:pPr>
      <w:r>
        <w:rPr/>
        <w:t xml:space="preserve">In such event Buyer cannot purchase replacement supply, Seller will be required to pay Buyer each day for Buyer’s opportunity cost of not being able to run the Project, which shall be defined as </w:t>
      </w:r>
      <w:r>
        <w:rPr>
          <w:b/>
          <w:bCs/>
        </w:rPr>
        <w:t>$_____ per MMBtu</w:t>
      </w:r>
      <w:r>
        <w:rPr/>
        <w:t xml:space="preserve"> of Fuel not delivered by Seller.  </w:t>
      </w:r>
    </w:p>
    <w:p>
      <w:pPr>
        <w:pStyle w:val="BodyTextIndent3"/>
        <w:numPr>
          <w:ilvl w:val="0"/>
          <w:numId w:val="12"/>
        </w:numPr>
        <w:tabs>
          <w:tab w:val="clear" w:pos="720"/>
          <w:tab w:val="left" w:pos="3600" w:leader="none"/>
        </w:tabs>
        <w:spacing w:before="120" w:after="0"/>
        <w:rPr>
          <w:b/>
        </w:rPr>
      </w:pPr>
      <w:r>
        <w:rPr>
          <w:bCs/>
        </w:rPr>
        <w:t>In the event Fuel delivered by Seller does not meet the agreed quality or pressure, and such gas causes any damage, the Seller will also reimburse Buyer for such costs and liabilities that may be incurred</w:t>
      </w:r>
      <w:r>
        <w:rPr>
          <w:b/>
        </w:rPr>
        <w:t>.</w:t>
      </w:r>
    </w:p>
    <w:p>
      <w:pPr>
        <w:pStyle w:val="Normal"/>
        <w:tabs>
          <w:tab w:val="clear" w:pos="720"/>
          <w:tab w:val="left" w:pos="3600" w:leader="none"/>
        </w:tabs>
        <w:ind w:hanging="3600" w:start="3600" w:end="0"/>
        <w:jc w:val="both"/>
        <w:rPr>
          <w:b/>
        </w:rPr>
      </w:pPr>
      <w:r>
        <w:rPr>
          <w:b/>
        </w:rPr>
      </w:r>
    </w:p>
    <w:p>
      <w:pPr>
        <w:pStyle w:val="Heading2"/>
        <w:tabs>
          <w:tab w:val="clear" w:pos="720"/>
          <w:tab w:val="left" w:pos="2160" w:leader="none"/>
        </w:tabs>
        <w:spacing w:before="0" w:after="0"/>
        <w:ind w:hanging="3600" w:start="3600" w:end="0"/>
        <w:jc w:val="both"/>
        <w:rPr/>
      </w:pPr>
      <w:r>
        <w:rPr>
          <w:b/>
        </w:rPr>
        <w:t>Security:</w:t>
      </w:r>
      <w:r>
        <w:rPr/>
        <w:tab/>
        <w:tab/>
        <w:t>Upon execution of the FSA, Seller shall deliver to Buyer and maintain in effect through the Term of the Agreement a parent financial guaranty, duly executed by an authorized representative in substantially the form and amount sufficient to cover the exposure from non-performance and liquidated damages, not to exceed $30 million.</w:t>
      </w:r>
    </w:p>
    <w:p>
      <w:pPr>
        <w:pStyle w:val="Heading2"/>
        <w:tabs>
          <w:tab w:val="clear" w:pos="720"/>
          <w:tab w:val="left" w:pos="2160" w:leader="none"/>
        </w:tabs>
        <w:spacing w:before="0" w:after="0"/>
        <w:ind w:hanging="3600" w:start="3600" w:end="0"/>
        <w:jc w:val="both"/>
        <w:rPr>
          <w:b/>
        </w:rPr>
      </w:pPr>
      <w:r>
        <w:rPr>
          <w:b/>
        </w:rPr>
      </w:r>
    </w:p>
    <w:p>
      <w:pPr>
        <w:pStyle w:val="Heading2"/>
        <w:tabs>
          <w:tab w:val="clear" w:pos="720"/>
          <w:tab w:val="left" w:pos="2160" w:leader="none"/>
        </w:tabs>
        <w:spacing w:before="0" w:after="0"/>
        <w:ind w:hanging="3600" w:start="3600" w:end="0"/>
        <w:jc w:val="both"/>
        <w:rPr/>
      </w:pPr>
      <w:r>
        <w:rPr>
          <w:b/>
        </w:rPr>
        <w:tab/>
        <w:tab/>
      </w:r>
      <w:r>
        <w:rPr/>
        <w:t xml:space="preserve">Upon execution of the FSA, Buyer shall deliver to Seller and maintain in effect through the Term of the Agreement a guaranty in the form of a letter of credit or other instrument, duly executed by an authorized representative in substantially the form and amount sufficient to cover 90 days worth of gas, not to exceed $30 million.  </w:t>
      </w:r>
    </w:p>
    <w:p>
      <w:pPr>
        <w:pStyle w:val="Normal"/>
        <w:ind w:start="3540" w:end="0"/>
        <w:rPr>
          <w:b/>
        </w:rPr>
      </w:pPr>
      <w:r>
        <w:rPr>
          <w:b/>
        </w:rPr>
        <w:t xml:space="preserve"> </w:t>
      </w:r>
    </w:p>
    <w:p>
      <w:pPr>
        <w:pStyle w:val="Normal"/>
        <w:ind w:hanging="3600" w:start="3600" w:end="0"/>
        <w:jc w:val="both"/>
        <w:rPr/>
      </w:pPr>
      <w:r>
        <w:rPr>
          <w:b/>
          <w:bCs/>
        </w:rPr>
        <w:t>Further Undertakings:</w:t>
      </w:r>
      <w:r>
        <w:rPr/>
        <w:tab/>
        <w:t>In addition, the FSA will include additional provisions that are normal and customary in the natural gas and electric power industries as required by the Parties, and will endeavor to make these additional provisions consistent with the Project’s PPA and in accordance with international practice.  Such provisions will include but not be limited to force majeure, default, dispute resolution and choice of law.</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object w:dxaOrig="1426" w:dyaOrig="162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183.6pt;margin-top:-6.65pt;width:50.4pt;height:71.95pt;mso-wrap-distance-left:9.05pt;mso-wrap-distance-right:9.05pt;mso-position-horizontal-relative:text;mso-position-vertical-relative:text" filled="f" o:ole="">
          <v:imagedata r:id="rId2" o:title=""/>
          <w10:wrap type="topAndBottom"/>
        </v:shape>
        <o:OLEObject Type="Embed" ProgID="Word.Document.12" ShapeID="ole_rId1" DrawAspect="Content" ObjectID="_650138748" r:id="rId1"/>
      </w:object>
    </w:r>
    <w:r>
      <w:rPr/>
      <w:tab/>
      <w:tab/>
    </w:r>
    <w:r>
      <mc:AlternateContent>
        <mc:Choice Requires="wps">
          <w:drawing>
            <wp:anchor behindDoc="0" distT="0" distB="0" distL="0" distR="0" simplePos="0" locked="0" layoutInCell="0" allowOverlap="1" relativeHeight="10">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Header"/>
      <w:rPr/>
    </w:pPr>
    <w:r>
      <w:rPr/>
      <w:t xml:space="preserve"> </w:t>
    </w:r>
  </w:p>
  <w:p>
    <w:pPr>
      <w:pStyle w:val="Header"/>
      <w:rPr/>
    </w:pPr>
    <w:r>
      <w:rPr/>
      <w:tab/>
      <w:tab/>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Roman"/>
      <w:lvlText w:val="(%1)"/>
      <w:lvlJc w:val="start"/>
      <w:pPr>
        <w:tabs>
          <w:tab w:val="num" w:pos="4320"/>
        </w:tabs>
        <w:ind w:start="43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3600" w:start="3600" w:end="0"/>
      <w:outlineLvl w:val="0"/>
    </w:pPr>
    <w:rPr>
      <w:i/>
      <w:iCs/>
      <w:sz w:val="20"/>
    </w:rPr>
  </w:style>
  <w:style w:type="paragraph" w:styleId="Heading2">
    <w:name w:val="heading 2"/>
    <w:basedOn w:val="Normal"/>
    <w:next w:val="BodyText"/>
    <w:qFormat/>
    <w:pPr>
      <w:numPr>
        <w:ilvl w:val="1"/>
        <w:numId w:val="1"/>
      </w:numPr>
      <w:spacing w:before="240" w:after="0"/>
      <w:outlineLvl w:val="1"/>
    </w:pPr>
    <w:rPr>
      <w:szCs w:val="20"/>
      <w:lang w:val="es-MX"/>
    </w:rPr>
  </w:style>
  <w:style w:type="paragraph" w:styleId="Heading3">
    <w:name w:val="heading 3"/>
    <w:basedOn w:val="Normal"/>
    <w:next w:val="BodyText"/>
    <w:qFormat/>
    <w:pPr>
      <w:numPr>
        <w:ilvl w:val="2"/>
        <w:numId w:val="1"/>
      </w:numPr>
      <w:spacing w:before="240" w:after="0"/>
      <w:outlineLvl w:val="2"/>
    </w:pPr>
    <w:rPr>
      <w:szCs w:val="20"/>
      <w:lang w:val="es-MX"/>
    </w:rPr>
  </w:style>
  <w:style w:type="paragraph" w:styleId="Heading4">
    <w:name w:val="heading 4"/>
    <w:basedOn w:val="Normal"/>
    <w:next w:val="BodyText"/>
    <w:qFormat/>
    <w:pPr>
      <w:numPr>
        <w:ilvl w:val="3"/>
        <w:numId w:val="1"/>
      </w:numPr>
      <w:spacing w:before="240" w:after="0"/>
      <w:outlineLvl w:val="3"/>
    </w:pPr>
    <w:rPr>
      <w:szCs w:val="20"/>
      <w:lang w:val="es-MX"/>
    </w:rPr>
  </w:style>
  <w:style w:type="paragraph" w:styleId="Heading5">
    <w:name w:val="heading 5"/>
    <w:basedOn w:val="Normal"/>
    <w:next w:val="BodyText"/>
    <w:qFormat/>
    <w:pPr>
      <w:numPr>
        <w:ilvl w:val="4"/>
        <w:numId w:val="1"/>
      </w:numPr>
      <w:spacing w:before="240" w:after="0"/>
      <w:outlineLvl w:val="4"/>
    </w:pPr>
    <w:rPr>
      <w:szCs w:val="20"/>
      <w:lang w:val="es-MX"/>
    </w:rPr>
  </w:style>
  <w:style w:type="paragraph" w:styleId="Heading6">
    <w:name w:val="heading 6"/>
    <w:basedOn w:val="Normal"/>
    <w:next w:val="BodyText"/>
    <w:qFormat/>
    <w:pPr>
      <w:numPr>
        <w:ilvl w:val="5"/>
        <w:numId w:val="1"/>
      </w:numPr>
      <w:spacing w:before="240" w:after="0"/>
      <w:outlineLvl w:val="5"/>
    </w:pPr>
    <w:rPr>
      <w:szCs w:val="20"/>
      <w:lang w:val="es-MX"/>
    </w:rPr>
  </w:style>
  <w:style w:type="paragraph" w:styleId="Heading7">
    <w:name w:val="heading 7"/>
    <w:basedOn w:val="Normal"/>
    <w:next w:val="BodyText"/>
    <w:qFormat/>
    <w:pPr>
      <w:numPr>
        <w:ilvl w:val="6"/>
        <w:numId w:val="1"/>
      </w:numPr>
      <w:spacing w:before="240" w:after="0"/>
      <w:outlineLvl w:val="6"/>
    </w:pPr>
    <w:rPr>
      <w:szCs w:val="20"/>
      <w:lang w:val="es-MX"/>
    </w:rPr>
  </w:style>
  <w:style w:type="paragraph" w:styleId="Heading8">
    <w:name w:val="heading 8"/>
    <w:basedOn w:val="Normal"/>
    <w:next w:val="BodyText"/>
    <w:qFormat/>
    <w:pPr>
      <w:numPr>
        <w:ilvl w:val="7"/>
        <w:numId w:val="1"/>
      </w:numPr>
      <w:spacing w:before="240" w:after="0"/>
      <w:outlineLvl w:val="7"/>
    </w:pPr>
    <w:rPr>
      <w:szCs w:val="20"/>
      <w:lang w:val="es-MX"/>
    </w:rPr>
  </w:style>
  <w:style w:type="paragraph" w:styleId="Heading9">
    <w:name w:val="heading 9"/>
    <w:basedOn w:val="Normal"/>
    <w:next w:val="BodyText"/>
    <w:qFormat/>
    <w:pPr>
      <w:numPr>
        <w:ilvl w:val="8"/>
        <w:numId w:val="1"/>
      </w:numPr>
      <w:spacing w:before="240" w:after="0"/>
      <w:outlineLvl w:val="8"/>
    </w:pPr>
    <w:rPr>
      <w:szCs w:val="20"/>
      <w:lang w:val="es-MX"/>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b/>
      <w:i w:val="false"/>
      <w:caps/>
      <w:u w:val="none"/>
    </w:rPr>
  </w:style>
  <w:style w:type="character" w:styleId="WW8Num12z1">
    <w:name w:val="WW8Num12z1"/>
    <w:qFormat/>
    <w:rPr>
      <w:b/>
      <w:i w:val="false"/>
      <w:caps w:val="false"/>
      <w:smallCaps w:val="false"/>
      <w:u w:val="none"/>
    </w:rPr>
  </w:style>
  <w:style w:type="character" w:styleId="WW8Num12z2">
    <w:name w:val="WW8Num12z2"/>
    <w:qFormat/>
    <w:rPr>
      <w:b w:val="false"/>
      <w:i w:val="false"/>
      <w:caps w:val="false"/>
      <w:smallCaps w:val="false"/>
      <w:u w:val="none"/>
    </w:rPr>
  </w:style>
  <w:style w:type="character" w:styleId="WW8Num13z0">
    <w:name w:val="WW8Num13z0"/>
    <w:qFormat/>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bCs/>
      <w:kern w:val="2"/>
      <w:sz w:val="32"/>
      <w:szCs w:val="32"/>
    </w:rPr>
  </w:style>
  <w:style w:type="paragraph" w:styleId="BodyText">
    <w:name w:val="Body Text"/>
    <w:basedOn w:val="Normal"/>
    <w:pPr>
      <w:jc w:val="both"/>
    </w:pPr>
    <w:rPr>
      <w:sz w:val="20"/>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ableofFigures">
    <w:name w:val="Table of Figures"/>
    <w:basedOn w:val="Normal"/>
    <w:next w:val="Normal"/>
    <w:qFormat/>
    <w:pPr>
      <w:tabs>
        <w:tab w:val="clear" w:pos="720"/>
        <w:tab w:val="left" w:pos="1170" w:leader="none"/>
        <w:tab w:val="right" w:pos="9350" w:leader="dot"/>
      </w:tabs>
      <w:jc w:val="both"/>
    </w:pPr>
    <w:rPr>
      <w:rFonts w:ascii="Arial" w:hAnsi="Arial" w:cs="Arial"/>
      <w:szCs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jc w:val="both"/>
    </w:pPr>
    <w:rPr>
      <w:szCs w:val="20"/>
    </w:rPr>
  </w:style>
  <w:style w:type="paragraph" w:styleId="BodyTextIndent2">
    <w:name w:val="Body Text Indent 2"/>
    <w:basedOn w:val="Normal"/>
    <w:qFormat/>
    <w:pPr>
      <w:jc w:val="both"/>
    </w:pPr>
    <w:rPr>
      <w:b/>
      <w:szCs w:val="20"/>
    </w:rPr>
  </w:style>
  <w:style w:type="paragraph" w:styleId="BodyTextIndent3">
    <w:name w:val="Body Text Indent 3"/>
    <w:basedOn w:val="Normal"/>
    <w:qFormat/>
    <w:pPr>
      <w:ind w:hanging="0" w:start="3600" w:end="0"/>
      <w:jc w:val="both"/>
    </w:pPr>
    <w:rPr/>
  </w:style>
  <w:style w:type="paragraph" w:styleId="Subtitle">
    <w:name w:val="Subtitle"/>
    <w:basedOn w:val="Normal"/>
    <w:next w:val="BodyText"/>
    <w:qFormat/>
    <w:pPr>
      <w:jc w:val="center"/>
    </w:pPr>
    <w:rPr>
      <w:b/>
      <w:bCs/>
    </w:rPr>
  </w:style>
  <w:style w:type="paragraph" w:styleId="NormalJustified">
    <w:name w:val="Normal (Justified)"/>
    <w:basedOn w:val="Normal"/>
    <w:qFormat/>
    <w:pPr>
      <w:jc w:val="both"/>
    </w:pPr>
    <w:rPr>
      <w:rFonts w:eastAsia="SimSun;宋体"/>
      <w:kern w:val="2"/>
      <w:szCs w:val="20"/>
      <w:lang w:eastAsia="zh-CN"/>
    </w:rPr>
  </w:style>
  <w:style w:type="paragraph" w:styleId="BodyText2">
    <w:name w:val="Body Text 2"/>
    <w:basedOn w:val="Normal"/>
    <w:qFormat/>
    <w:pPr/>
    <w:rPr>
      <w:color w:val="0000FF"/>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BodyTextFirstIndent">
    <w:name w:val="Body Text First Indent"/>
    <w:basedOn w:val="BodyText"/>
    <w:qFormat/>
    <w:pPr>
      <w:spacing w:before="0" w:after="120"/>
      <w:ind w:firstLine="210" w:start="0" w:end="0"/>
      <w:jc w:val="start"/>
    </w:pPr>
    <w:rPr>
      <w:sz w:val="24"/>
    </w:rPr>
  </w:style>
  <w:style w:type="paragraph" w:styleId="BodyTextFirstIndent2">
    <w:name w:val="Body Text First Indent 2"/>
    <w:basedOn w:val="BodyTextIndent"/>
    <w:qFormat/>
    <w:pPr>
      <w:spacing w:before="0" w:after="120"/>
      <w:ind w:firstLine="210" w:start="360" w:end="0"/>
      <w:jc w:val="start"/>
    </w:pPr>
    <w:rPr>
      <w:szCs w:val="24"/>
    </w:rPr>
  </w:style>
  <w:style w:type="paragraph" w:styleId="Closing">
    <w:name w:val="Closing"/>
    <w:basedOn w:val="Normal"/>
    <w:qFormat/>
    <w:pPr>
      <w:ind w:hanging="0" w:start="4320" w:end="0"/>
    </w:pPr>
    <w:rPr/>
  </w:style>
  <w:style w:type="paragraph" w:styleId="CommentText">
    <w:name w:val="Comment Text"/>
    <w:basedOn w:val="Normal"/>
    <w:qFormat/>
    <w:pPr/>
    <w:rPr>
      <w:sz w:val="20"/>
      <w:szCs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package" Target="embeddings/oleObject1.docx"/><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2001-08-21T16:32:00Z</dcterms:created>
  <dc:creator>holcombj</dc:creator>
  <dc:description/>
  <dc:language>en-CA</dc:language>
  <cp:lastModifiedBy>User</cp:lastModifiedBy>
  <cp:lastPrinted>2001-08-14T17:08:00Z</cp:lastPrinted>
  <dcterms:modified xsi:type="dcterms:W3CDTF">2001-08-21T19:40:00Z</dcterms:modified>
  <cp:revision>7</cp:revision>
  <dc:subject/>
  <dc:title>Via email </dc:title>
</cp:coreProperties>
</file>