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153"/>
          <w:tab w:val="clear" w:pos="8306"/>
          <w:tab w:val="left" w:pos="9090" w:leader="none"/>
        </w:tabs>
        <w:jc w:val="center"/>
        <w:outlineLvl w:val="0"/>
        <w:rPr>
          <w:rFonts w:ascii="Arial" w:hAnsi="Arial" w:cs="Arial"/>
          <w:b/>
          <w:bCs/>
          <w:sz w:val="52"/>
        </w:rPr>
      </w:pPr>
      <w:r>
        <mc:AlternateContent>
          <mc:Choice Requires="wps">
            <w:drawing>
              <wp:anchor behindDoc="0" distT="0" distB="0" distL="114935" distR="114935" simplePos="0" locked="0" layoutInCell="1" allowOverlap="1" relativeHeight="49">
                <wp:simplePos x="0" y="0"/>
                <wp:positionH relativeFrom="column">
                  <wp:posOffset>5194300</wp:posOffset>
                </wp:positionH>
                <wp:positionV relativeFrom="paragraph">
                  <wp:posOffset>230505</wp:posOffset>
                </wp:positionV>
                <wp:extent cx="5694045" cy="7750175"/>
                <wp:effectExtent l="0" t="0" r="0" b="0"/>
                <wp:wrapNone/>
                <wp:docPr id="1" name=""/>
                <a:graphic xmlns:a="http://schemas.openxmlformats.org/drawingml/2006/main">
                  <a:graphicData uri="http://schemas.microsoft.com/office/word/2010/wordprocessingShape">
                    <wps:wsp>
                      <wps:cNvSpPr txBox="1"/>
                      <wps:spPr>
                        <a:xfrm rot="10800000">
                          <a:off x="0" y="0"/>
                          <a:ext cx="5694120" cy="7750080"/>
                        </a:xfrm>
                        <a:prstGeom prst="rect">
                          <a:avLst/>
                        </a:prstGeom>
                        <a:noFill/>
                        <a:ln w="0">
                          <a:noFill/>
                        </a:ln>
                      </wps:spPr>
                      <wps:txbx>
                        <w:txbxContent>
                          <w:p>
                            <w:pPr>
                              <w:overflowPunct w:val="false"/>
                              <w:bidi w:val="0"/>
                              <w:jc w:val="center"/>
                              <w:rPr/>
                            </w:pPr>
                            <w:r>
                              <w:rPr>
                                <w:kern w:val="2"/>
                                <w:sz w:val="96"/>
                                <w:szCs w:val="20"/>
                                <w:rFonts w:ascii="Arial" w:hAnsi="Arial" w:eastAsia="Times New Roman" w:cs="Arial"/>
                                <w:color w:val="808080"/>
                                <w:lang w:val="en-US" w:bidi="ar-SA"/>
                              </w:rPr>
                              <w:t>Transition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09pt;margin-top:18.15pt;width:448.3pt;height:610.2pt;mso-wrap-style:none;v-text-anchor:middle;rotation:180" type="_x0000_t202">
                <v:textbox>
                  <w:txbxContent>
                    <w:p>
                      <w:pPr>
                        <w:overflowPunct w:val="false"/>
                        <w:bidi w:val="0"/>
                        <w:jc w:val="center"/>
                        <w:rPr/>
                      </w:pPr>
                      <w:r>
                        <w:rPr>
                          <w:kern w:val="2"/>
                          <w:sz w:val="96"/>
                          <w:szCs w:val="20"/>
                          <w:rFonts w:ascii="Arial" w:hAnsi="Arial" w:eastAsia="Times New Roman" w:cs="Arial"/>
                          <w:color w:val="808080"/>
                          <w:lang w:val="en-US" w:bidi="ar-SA"/>
                        </w:rPr>
                        <w:t>Transition Document</w:t>
                      </w:r>
                    </w:p>
                  </w:txbxContent>
                </v:textbox>
                <v:fill o:detectmouseclick="t" on="false"/>
                <v:stroke color="#3465a4" joinstyle="round" endcap="flat"/>
                <w10:wrap type="none"/>
              </v:shape>
            </w:pict>
          </mc:Fallback>
        </mc:AlternateContent>
      </w:r>
      <w:r>
        <w:rPr>
          <w:rFonts w:cs="Arial" w:ascii="Arial" w:hAnsi="Arial"/>
          <w:b/>
          <w:bCs/>
          <w:sz w:val="52"/>
        </w:rPr>
        <w:t>Gas Fundamentals</w:t>
      </w:r>
    </w:p>
    <w:p>
      <w:pPr>
        <w:pStyle w:val="Header"/>
        <w:numPr>
          <w:ilvl w:val="0"/>
          <w:numId w:val="0"/>
        </w:numPr>
        <w:tabs>
          <w:tab w:val="clear" w:pos="4153"/>
          <w:tab w:val="clear" w:pos="8306"/>
          <w:tab w:val="left" w:pos="9090" w:leader="none"/>
        </w:tabs>
        <w:jc w:val="center"/>
        <w:outlineLvl w:val="0"/>
        <w:rPr>
          <w:rFonts w:ascii="Arial" w:hAnsi="Arial" w:cs="Arial"/>
          <w:sz w:val="40"/>
        </w:rPr>
      </w:pPr>
      <w:r>
        <w:rPr>
          <w:rFonts w:cs="Arial" w:ascii="Arial" w:hAnsi="Arial"/>
          <w:sz w:val="40"/>
        </w:rPr>
        <w:t>System Migration Plan</w:t>
      </w:r>
    </w:p>
    <w:p>
      <w:pPr>
        <w:pStyle w:val="Header"/>
        <w:numPr>
          <w:ilvl w:val="0"/>
          <w:numId w:val="0"/>
        </w:numPr>
        <w:tabs>
          <w:tab w:val="clear" w:pos="4153"/>
          <w:tab w:val="clear" w:pos="8306"/>
        </w:tabs>
        <w:jc w:val="center"/>
        <w:outlineLvl w:val="0"/>
        <w:rPr>
          <w:rFonts w:ascii="Arial" w:hAnsi="Arial" w:cs="Arial"/>
          <w:sz w:val="32"/>
        </w:rPr>
      </w:pPr>
      <w:r>
        <w:rPr>
          <w:rFonts w:cs="Arial" w:ascii="Arial" w:hAnsi="Arial"/>
          <w:sz w:val="32"/>
        </w:rPr>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36"/>
        </w:rPr>
      </w:pPr>
      <w:r>
        <w:rPr>
          <w:rFonts w:cs="Arial" w:ascii="Arial" w:hAnsi="Arial"/>
          <w:sz w:val="36"/>
        </w:rPr>
      </w:r>
    </w:p>
    <w:p>
      <w:pPr>
        <w:pStyle w:val="Normal"/>
        <w:jc w:val="center"/>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r>
        <mc:AlternateContent>
          <mc:Choice Requires="wps">
            <w:drawing>
              <wp:anchor behindDoc="0" distT="0" distB="0" distL="114300" distR="114300" simplePos="0" locked="0" layoutInCell="0" allowOverlap="1" relativeHeight="2">
                <wp:simplePos x="0" y="0"/>
                <wp:positionH relativeFrom="page">
                  <wp:posOffset>1189355</wp:posOffset>
                </wp:positionH>
                <wp:positionV relativeFrom="paragraph">
                  <wp:posOffset>635</wp:posOffset>
                </wp:positionV>
                <wp:extent cx="1645920" cy="1645285"/>
                <wp:effectExtent l="0" t="0" r="0" b="0"/>
                <wp:wrapSquare wrapText="bothSides"/>
                <wp:docPr id="2" name="Frame1"/>
                <a:graphic xmlns:a="http://schemas.openxmlformats.org/drawingml/2006/main">
                  <a:graphicData uri="http://schemas.microsoft.com/office/word/2010/wordprocessingShape">
                    <wps:wsp>
                      <wps:cNvSpPr txBox="1"/>
                      <wps:spPr>
                        <a:xfrm>
                          <a:off x="0" y="0"/>
                          <a:ext cx="1645920" cy="1645285"/>
                        </a:xfrm>
                        <a:prstGeom prst="rect"/>
                        <a:solidFill>
                          <a:srgbClr val="FFFFFF">
                            <a:alpha val="0"/>
                          </a:srgbClr>
                        </a:solidFill>
                      </wps:spPr>
                      <wps:txbx>
                        <w:txbxContent>
                          <w:p>
                            <w:pPr>
                              <w:pStyle w:val="Normal"/>
                              <w:rPr/>
                            </w:pPr>
                            <w:bookmarkStart w:id="0" w:name="_1041248857"/>
                            <w:bookmarkStart w:id="1" w:name="_1010488464"/>
                            <w:bookmarkStart w:id="2" w:name="_966950418"/>
                            <w:bookmarkEnd w:id="0"/>
                            <w:bookmarkEnd w:id="1"/>
                            <w:bookmarkEnd w:id="2"/>
                            <w:r>
                              <w:rPr/>
                              <w:object w:dxaOrig="4816" w:dyaOrig="4817">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29.55pt;height:129.55pt" filled="f" o:ole="">
                                  <v:imagedata r:id="rId3" o:title=""/>
                                </v:shape>
                                <o:OLEObject Type="Embed" ProgID="" ShapeID="ole_rId2" DrawAspect="Content" ObjectID="_17382364" r:id="rId2"/>
                              </w:object>
                            </w:r>
                          </w:p>
                        </w:txbxContent>
                      </wps:txbx>
                      <wps:bodyPr anchor="t" lIns="0" tIns="0" rIns="0" bIns="0">
                        <a:noAutofit/>
                      </wps:bodyPr>
                    </wps:wsp>
                  </a:graphicData>
                </a:graphic>
              </wp:anchor>
            </w:drawing>
          </mc:Choice>
          <mc:Fallback>
            <w:pict>
              <v:rect fillcolor="#FFFFFF" style="position:absolute;rotation:-0;width:129.6pt;height:129.55pt;mso-wrap-distance-left:9pt;mso-wrap-distance-right:9pt;mso-wrap-distance-top:0pt;mso-wrap-distance-bottom:0pt;margin-top:0.05pt;mso-position-vertical-relative:text;margin-left:93.65pt;mso-position-horizontal-relative:page">
                <v:fill opacity="0f"/>
                <v:textbox inset="0in,0in,0in,0in">
                  <w:txbxContent>
                    <w:p>
                      <w:pPr>
                        <w:pStyle w:val="Normal"/>
                        <w:rPr/>
                      </w:pPr>
                      <w:bookmarkStart w:id="3" w:name="_1041248857"/>
                      <w:bookmarkStart w:id="4" w:name="_1010488464"/>
                      <w:bookmarkStart w:id="5" w:name="_966950418"/>
                      <w:bookmarkEnd w:id="3"/>
                      <w:bookmarkEnd w:id="4"/>
                      <w:bookmarkEnd w:id="5"/>
                      <w:r>
                        <w:rPr/>
                        <w:object w:dxaOrig="4816" w:dyaOrig="4817">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29.55pt;height:129.55pt" filled="f" o:ole="">
                            <v:imagedata r:id="rId5" o:title=""/>
                          </v:shape>
                          <o:OLEObject Type="Embed" ProgID="" ShapeID="ole_rId4" DrawAspect="Content" ObjectID="_1868823191" r:id="rId4"/>
                        </w:object>
                      </w:r>
                    </w:p>
                  </w:txbxContent>
                </v:textbox>
                <w10:wrap type="square"/>
              </v:rect>
            </w:pict>
          </mc:Fallback>
        </mc:AlternateContent>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pPr>
      <w:r>
        <w:rPr/>
      </w:r>
    </w:p>
    <w:p>
      <w:pPr>
        <w:pStyle w:val="Normal"/>
        <w:rPr/>
      </w:pPr>
      <w:r>
        <w:rPr/>
      </w:r>
    </w:p>
    <w:p>
      <w:pPr>
        <w:pStyle w:val="Normal"/>
        <w:rPr/>
      </w:pPr>
      <w:r>
        <w:rPr/>
        <w:t>Document Information</w:t>
      </w:r>
    </w:p>
    <w:tbl>
      <w:tblPr>
        <w:tblW w:w="7338" w:type="dxa"/>
        <w:jc w:val="start"/>
        <w:tblInd w:w="0" w:type="dxa"/>
        <w:tblLayout w:type="fixed"/>
        <w:tblCellMar>
          <w:top w:w="0" w:type="dxa"/>
          <w:start w:w="108" w:type="dxa"/>
          <w:bottom w:w="0" w:type="dxa"/>
          <w:end w:w="108" w:type="dxa"/>
        </w:tblCellMar>
      </w:tblPr>
      <w:tblGrid>
        <w:gridCol w:w="1818"/>
        <w:gridCol w:w="1080"/>
        <w:gridCol w:w="2700"/>
        <w:gridCol w:w="1740"/>
      </w:tblGrid>
      <w:tr>
        <w:trPr/>
        <w:tc>
          <w:tcPr>
            <w:tcW w:w="1818"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Date</w:t>
            </w:r>
          </w:p>
        </w:tc>
        <w:tc>
          <w:tcPr>
            <w:tcW w:w="108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Version</w:t>
            </w:r>
          </w:p>
        </w:tc>
        <w:tc>
          <w:tcPr>
            <w:tcW w:w="270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Updated by</w:t>
            </w:r>
          </w:p>
        </w:tc>
        <w:tc>
          <w:tcPr>
            <w:tcW w:w="1740"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Approved by</w:t>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rPr/>
            </w:pPr>
            <w:r>
              <w:rPr/>
              <w:t>17-Dec-2001</w:t>
            </w:r>
          </w:p>
        </w:tc>
        <w:tc>
          <w:tcPr>
            <w:tcW w:w="1080" w:type="dxa"/>
            <w:tcBorders>
              <w:top w:val="single" w:sz="4" w:space="0" w:color="000000"/>
              <w:start w:val="single" w:sz="4" w:space="0" w:color="000000"/>
              <w:bottom w:val="single" w:sz="4" w:space="0" w:color="000000"/>
              <w:end w:val="single" w:sz="4" w:space="0" w:color="000000"/>
            </w:tcBorders>
          </w:tcPr>
          <w:p>
            <w:pPr>
              <w:pStyle w:val="Normal"/>
              <w:rPr/>
            </w:pPr>
            <w:r>
              <w:rPr/>
              <w:t>1.0</w:t>
            </w:r>
          </w:p>
        </w:tc>
        <w:tc>
          <w:tcPr>
            <w:tcW w:w="2700" w:type="dxa"/>
            <w:tcBorders>
              <w:top w:val="single" w:sz="4" w:space="0" w:color="000000"/>
              <w:start w:val="single" w:sz="4" w:space="0" w:color="000000"/>
              <w:bottom w:val="single" w:sz="4" w:space="0" w:color="000000"/>
              <w:end w:val="single" w:sz="4" w:space="0" w:color="000000"/>
            </w:tcBorders>
          </w:tcPr>
          <w:p>
            <w:pPr>
              <w:pStyle w:val="Normal"/>
              <w:rPr/>
            </w:pPr>
            <w:r>
              <w:rPr/>
              <w:t>David Dronet</w:t>
            </w:r>
          </w:p>
        </w:tc>
        <w:tc>
          <w:tcPr>
            <w:tcW w:w="17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181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0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7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Normal"/>
        <w:rPr/>
      </w:pPr>
      <w:r>
        <w:rPr/>
        <w:t>Project Information</w:t>
      </w:r>
    </w:p>
    <w:tbl>
      <w:tblPr>
        <w:tblW w:w="7338" w:type="dxa"/>
        <w:jc w:val="start"/>
        <w:tblInd w:w="0" w:type="dxa"/>
        <w:tblLayout w:type="fixed"/>
        <w:tblCellMar>
          <w:top w:w="0" w:type="dxa"/>
          <w:start w:w="108" w:type="dxa"/>
          <w:bottom w:w="0" w:type="dxa"/>
          <w:end w:w="108" w:type="dxa"/>
        </w:tblCellMar>
      </w:tblPr>
      <w:tblGrid>
        <w:gridCol w:w="2093"/>
        <w:gridCol w:w="5245"/>
      </w:tblGrid>
      <w:tr>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Project Number</w:t>
            </w:r>
          </w:p>
        </w:tc>
        <w:tc>
          <w:tcPr>
            <w:tcW w:w="5245" w:type="dxa"/>
            <w:tcBorders>
              <w:top w:val="single" w:sz="4" w:space="0" w:color="000000"/>
              <w:start w:val="single" w:sz="4" w:space="0" w:color="000000"/>
              <w:bottom w:val="single" w:sz="4" w:space="0" w:color="000000"/>
              <w:end w:val="single" w:sz="4" w:space="0" w:color="000000"/>
            </w:tcBorders>
          </w:tcPr>
          <w:p>
            <w:pPr>
              <w:pStyle w:val="Normal"/>
              <w:rPr/>
            </w:pPr>
            <w:r>
              <w:rPr/>
              <w:t>GasFundy_System_Migration</w:t>
            </w:r>
          </w:p>
        </w:tc>
      </w:tr>
      <w:tr>
        <w:trPr>
          <w:trHeight w:val="143" w:hRule="atLeast"/>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Project Manager</w:t>
            </w:r>
          </w:p>
        </w:tc>
        <w:tc>
          <w:tcPr>
            <w:tcW w:w="5245" w:type="dxa"/>
            <w:tcBorders>
              <w:top w:val="single" w:sz="4" w:space="0" w:color="000000"/>
              <w:start w:val="single" w:sz="4" w:space="0" w:color="000000"/>
              <w:bottom w:val="single" w:sz="4" w:space="0" w:color="000000"/>
              <w:end w:val="single" w:sz="4" w:space="0" w:color="000000"/>
            </w:tcBorders>
          </w:tcPr>
          <w:p>
            <w:pPr>
              <w:pStyle w:val="CommentText"/>
              <w:rPr/>
            </w:pPr>
            <w:r>
              <w:rPr/>
              <w:t>David Dronet</w:t>
            </w:r>
          </w:p>
        </w:tc>
      </w:tr>
      <w:tr>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Business Sponsor</w:t>
            </w:r>
          </w:p>
        </w:tc>
        <w:tc>
          <w:tcPr>
            <w:tcW w:w="524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rHeight w:val="242" w:hRule="atLeast"/>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Inception Date</w:t>
            </w:r>
          </w:p>
        </w:tc>
        <w:tc>
          <w:tcPr>
            <w:tcW w:w="5245" w:type="dxa"/>
            <w:tcBorders>
              <w:top w:val="single" w:sz="4" w:space="0" w:color="000000"/>
              <w:start w:val="single" w:sz="4" w:space="0" w:color="000000"/>
              <w:bottom w:val="single" w:sz="4" w:space="0" w:color="000000"/>
              <w:end w:val="single" w:sz="4" w:space="0" w:color="000000"/>
            </w:tcBorders>
          </w:tcPr>
          <w:p>
            <w:pPr>
              <w:pStyle w:val="Normal"/>
              <w:rPr/>
            </w:pPr>
            <w:r>
              <w:rPr/>
              <w:t>December 2001</w:t>
            </w:r>
          </w:p>
        </w:tc>
      </w:tr>
    </w:tbl>
    <w:p>
      <w:pPr>
        <w:pStyle w:val="Normal"/>
        <w:rPr/>
      </w:pPr>
      <w:r>
        <w:rPr/>
      </w:r>
    </w:p>
    <w:p>
      <w:pPr>
        <w:pStyle w:val="Normal"/>
        <w:rPr/>
      </w:pPr>
      <w:r>
        <w:rPr/>
        <w:t>Sign off</w:t>
      </w:r>
    </w:p>
    <w:tbl>
      <w:tblPr>
        <w:tblW w:w="7338" w:type="dxa"/>
        <w:jc w:val="start"/>
        <w:tblInd w:w="0" w:type="dxa"/>
        <w:tblLayout w:type="fixed"/>
        <w:tblCellMar>
          <w:top w:w="0" w:type="dxa"/>
          <w:start w:w="108" w:type="dxa"/>
          <w:bottom w:w="0" w:type="dxa"/>
          <w:end w:w="108" w:type="dxa"/>
        </w:tblCellMar>
      </w:tblPr>
      <w:tblGrid>
        <w:gridCol w:w="2093"/>
        <w:gridCol w:w="5245"/>
      </w:tblGrid>
      <w:tr>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Business</w:t>
            </w:r>
          </w:p>
        </w:tc>
        <w:tc>
          <w:tcPr>
            <w:tcW w:w="524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r>
        <w:trPr/>
        <w:tc>
          <w:tcPr>
            <w:tcW w:w="2093" w:type="dxa"/>
            <w:tcBorders>
              <w:top w:val="single" w:sz="4" w:space="0" w:color="000000"/>
              <w:start w:val="single" w:sz="4" w:space="0" w:color="000000"/>
              <w:bottom w:val="single" w:sz="4" w:space="0" w:color="000000"/>
              <w:end w:val="single" w:sz="4" w:space="0" w:color="000000"/>
            </w:tcBorders>
            <w:shd w:fill="E5E5E5" w:val="clear"/>
          </w:tcPr>
          <w:p>
            <w:pPr>
              <w:pStyle w:val="Normal"/>
              <w:rPr>
                <w:b/>
              </w:rPr>
            </w:pPr>
            <w:r>
              <w:rPr>
                <w:b/>
              </w:rPr>
              <w:t>IT</w:t>
            </w:r>
          </w:p>
        </w:tc>
        <w:tc>
          <w:tcPr>
            <w:tcW w:w="5245"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Heading"/>
        <w:numPr>
          <w:ilvl w:val="0"/>
          <w:numId w:val="0"/>
        </w:numPr>
        <w:jc w:val="both"/>
        <w:outlineLvl w:val="0"/>
        <w:rPr/>
      </w:pPr>
      <w:r>
        <w:br w:type="page"/>
      </w:r>
      <w:r>
        <w:rPr/>
        <w:t>Contents</w:t>
      </w:r>
    </w:p>
    <w:sdt>
      <w:sdtPr>
        <w:docPartObj>
          <w:docPartGallery w:val="Table of Contents"/>
          <w:docPartUnique w:val="true"/>
        </w:docPartObj>
      </w:sdtPr>
      <w:sdtContent>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fldChar w:fldCharType="begin"/>
          </w:r>
          <w:r>
            <w:rPr>
              <w:szCs w:val="28"/>
              <w:lang w:val="en-CA" w:eastAsia="en-CA"/>
            </w:rPr>
            <w:instrText xml:space="preserve"> TOC \o "1-5" </w:instrText>
          </w:r>
          <w:r>
            <w:rPr>
              <w:szCs w:val="28"/>
              <w:lang w:val="en-CA" w:eastAsia="en-CA"/>
            </w:rPr>
            <w:fldChar w:fldCharType="separate"/>
          </w:r>
          <w:r>
            <w:rPr>
              <w:szCs w:val="28"/>
              <w:lang w:val="en-CA" w:eastAsia="en-CA"/>
            </w:rPr>
            <w:t>1</w:t>
          </w:r>
          <w:r>
            <w:rPr>
              <w:rFonts w:cs="Times New Roman" w:ascii="Times New Roman" w:hAnsi="Times New Roman"/>
              <w:b w:val="false"/>
              <w:bCs w:val="false"/>
              <w:sz w:val="24"/>
              <w:szCs w:val="24"/>
              <w:lang w:val="en-CA" w:eastAsia="en-CA"/>
            </w:rPr>
            <w:tab/>
          </w:r>
          <w:r>
            <w:rPr>
              <w:szCs w:val="28"/>
              <w:lang w:val="en-CA" w:eastAsia="en-CA"/>
            </w:rPr>
            <w:t>Description</w:t>
          </w:r>
          <w:r>
            <w:rPr>
              <w:lang w:val="en-CA" w:eastAsia="en-CA"/>
            </w:rPr>
            <w:tab/>
          </w:r>
          <w:hyperlink w:anchor="__RefHeading___Toc533221986">
            <w:r>
              <w:rPr>
                <w:rStyle w:val="IndexLink"/>
                <w:lang w:val="en-CA" w:eastAsia="en-CA"/>
              </w:rPr>
              <w:t>3</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2</w:t>
          </w:r>
          <w:r>
            <w:rPr>
              <w:rFonts w:cs="Times New Roman" w:ascii="Times New Roman" w:hAnsi="Times New Roman"/>
              <w:b w:val="false"/>
              <w:bCs w:val="false"/>
              <w:sz w:val="24"/>
              <w:szCs w:val="24"/>
              <w:lang w:val="en-CA" w:eastAsia="en-CA"/>
            </w:rPr>
            <w:tab/>
          </w:r>
          <w:r>
            <w:rPr>
              <w:szCs w:val="28"/>
              <w:lang w:val="en-CA" w:eastAsia="en-CA"/>
            </w:rPr>
            <w:t>Assumptions</w:t>
          </w:r>
          <w:r>
            <w:rPr>
              <w:lang w:val="en-CA" w:eastAsia="en-CA"/>
            </w:rPr>
            <w:tab/>
          </w:r>
          <w:hyperlink w:anchor="__RefHeading___Toc533221987">
            <w:r>
              <w:rPr>
                <w:rStyle w:val="IndexLink"/>
                <w:lang w:val="en-CA" w:eastAsia="en-CA"/>
              </w:rPr>
              <w:t>4</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2.1</w:t>
          </w:r>
          <w:r>
            <w:rPr>
              <w:caps w:val="false"/>
              <w:smallCaps w:val="false"/>
              <w:sz w:val="24"/>
              <w:szCs w:val="24"/>
              <w:lang w:val="en-CA" w:eastAsia="en-CA"/>
            </w:rPr>
            <w:tab/>
          </w:r>
          <w:r>
            <w:rPr>
              <w:szCs w:val="24"/>
              <w:lang w:val="en-CA" w:eastAsia="en-CA"/>
            </w:rPr>
            <w:t>Data Conversions</w:t>
          </w:r>
          <w:r>
            <w:rPr>
              <w:lang w:val="en-CA" w:eastAsia="en-CA"/>
            </w:rPr>
            <w:tab/>
          </w:r>
          <w:hyperlink w:anchor="__RefHeading___Toc533221988">
            <w:r>
              <w:rPr>
                <w:rStyle w:val="IndexLink"/>
                <w:lang w:val="en-CA" w:eastAsia="en-CA"/>
              </w:rPr>
              <w:t>4</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3</w:t>
          </w:r>
          <w:r>
            <w:rPr>
              <w:rFonts w:cs="Times New Roman" w:ascii="Times New Roman" w:hAnsi="Times New Roman"/>
              <w:b w:val="false"/>
              <w:bCs w:val="false"/>
              <w:sz w:val="24"/>
              <w:szCs w:val="24"/>
              <w:lang w:val="en-CA" w:eastAsia="en-CA"/>
            </w:rPr>
            <w:tab/>
          </w:r>
          <w:r>
            <w:rPr>
              <w:szCs w:val="28"/>
              <w:lang w:val="en-CA" w:eastAsia="en-CA"/>
            </w:rPr>
            <w:t>Dependencies</w:t>
          </w:r>
          <w:r>
            <w:rPr>
              <w:lang w:val="en-CA" w:eastAsia="en-CA"/>
            </w:rPr>
            <w:tab/>
          </w:r>
          <w:hyperlink w:anchor="__RefHeading___Toc533221989">
            <w:r>
              <w:rPr>
                <w:rStyle w:val="IndexLink"/>
                <w:lang w:val="en-CA" w:eastAsia="en-CA"/>
              </w:rPr>
              <w:t>5</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3.1</w:t>
          </w:r>
          <w:r>
            <w:rPr>
              <w:caps w:val="false"/>
              <w:smallCaps w:val="false"/>
              <w:sz w:val="24"/>
              <w:szCs w:val="24"/>
              <w:lang w:val="en-CA" w:eastAsia="en-CA"/>
            </w:rPr>
            <w:tab/>
          </w:r>
          <w:r>
            <w:rPr>
              <w:szCs w:val="24"/>
              <w:lang w:val="en-CA" w:eastAsia="en-CA"/>
            </w:rPr>
            <w:t>Legal Entities</w:t>
          </w:r>
          <w:r>
            <w:rPr>
              <w:lang w:val="en-CA" w:eastAsia="en-CA"/>
            </w:rPr>
            <w:tab/>
          </w:r>
          <w:hyperlink w:anchor="__RefHeading___Toc533221990">
            <w:r>
              <w:rPr>
                <w:rStyle w:val="IndexLink"/>
                <w:lang w:val="en-CA" w:eastAsia="en-CA"/>
              </w:rPr>
              <w:t>5</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3.2</w:t>
          </w:r>
          <w:r>
            <w:rPr>
              <w:caps w:val="false"/>
              <w:smallCaps w:val="false"/>
              <w:sz w:val="24"/>
              <w:szCs w:val="24"/>
              <w:lang w:val="en-CA" w:eastAsia="en-CA"/>
            </w:rPr>
            <w:tab/>
          </w:r>
          <w:r>
            <w:rPr>
              <w:szCs w:val="24"/>
              <w:lang w:val="en-CA" w:eastAsia="en-CA"/>
            </w:rPr>
            <w:t>Key Setup</w:t>
          </w:r>
          <w:r>
            <w:rPr>
              <w:lang w:val="en-CA" w:eastAsia="en-CA"/>
            </w:rPr>
            <w:tab/>
          </w:r>
          <w:hyperlink w:anchor="__RefHeading___Toc533221991">
            <w:r>
              <w:rPr>
                <w:rStyle w:val="IndexLink"/>
                <w:lang w:val="en-CA" w:eastAsia="en-CA"/>
              </w:rPr>
              <w:t>5</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3.3</w:t>
          </w:r>
          <w:r>
            <w:rPr>
              <w:caps w:val="false"/>
              <w:smallCaps w:val="false"/>
              <w:sz w:val="24"/>
              <w:szCs w:val="24"/>
              <w:lang w:val="en-CA" w:eastAsia="en-CA"/>
            </w:rPr>
            <w:tab/>
          </w:r>
          <w:r>
            <w:rPr>
              <w:szCs w:val="24"/>
              <w:lang w:val="en-CA" w:eastAsia="en-CA"/>
            </w:rPr>
            <w:t>Upstream System(s)</w:t>
          </w:r>
          <w:r>
            <w:rPr>
              <w:lang w:val="en-CA" w:eastAsia="en-CA"/>
            </w:rPr>
            <w:tab/>
          </w:r>
          <w:hyperlink w:anchor="__RefHeading___Toc533221992">
            <w:r>
              <w:rPr>
                <w:rStyle w:val="IndexLink"/>
                <w:lang w:val="en-CA" w:eastAsia="en-CA"/>
              </w:rPr>
              <w:t>5</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4</w:t>
          </w:r>
          <w:r>
            <w:rPr>
              <w:rFonts w:cs="Times New Roman" w:ascii="Times New Roman" w:hAnsi="Times New Roman"/>
              <w:b w:val="false"/>
              <w:bCs w:val="false"/>
              <w:sz w:val="24"/>
              <w:szCs w:val="24"/>
              <w:lang w:val="en-CA" w:eastAsia="en-CA"/>
            </w:rPr>
            <w:tab/>
          </w:r>
          <w:r>
            <w:rPr>
              <w:szCs w:val="28"/>
              <w:lang w:val="en-CA" w:eastAsia="en-CA"/>
            </w:rPr>
            <w:t>Unit Test</w:t>
          </w:r>
          <w:r>
            <w:rPr>
              <w:lang w:val="en-CA" w:eastAsia="en-CA"/>
            </w:rPr>
            <w:tab/>
          </w:r>
          <w:hyperlink w:anchor="__RefHeading___Toc533221993">
            <w:r>
              <w:rPr>
                <w:rStyle w:val="IndexLink"/>
                <w:lang w:val="en-CA" w:eastAsia="en-CA"/>
              </w:rPr>
              <w:t>6</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4.1</w:t>
          </w:r>
          <w:r>
            <w:rPr>
              <w:caps w:val="false"/>
              <w:smallCaps w:val="false"/>
              <w:sz w:val="24"/>
              <w:szCs w:val="24"/>
              <w:lang w:val="en-CA" w:eastAsia="en-CA"/>
            </w:rPr>
            <w:tab/>
          </w:r>
          <w:r>
            <w:rPr>
              <w:szCs w:val="24"/>
              <w:lang w:val="en-CA" w:eastAsia="en-CA"/>
            </w:rPr>
            <w:t>Application(s)</w:t>
          </w:r>
          <w:r>
            <w:rPr>
              <w:lang w:val="en-CA" w:eastAsia="en-CA"/>
            </w:rPr>
            <w:tab/>
          </w:r>
          <w:hyperlink w:anchor="__RefHeading___Toc533221994">
            <w:r>
              <w:rPr>
                <w:rStyle w:val="IndexLink"/>
                <w:lang w:val="en-CA" w:eastAsia="en-CA"/>
              </w:rPr>
              <w:t>6</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5</w:t>
          </w:r>
          <w:r>
            <w:rPr>
              <w:rFonts w:cs="Times New Roman" w:ascii="Times New Roman" w:hAnsi="Times New Roman"/>
              <w:b w:val="false"/>
              <w:bCs w:val="false"/>
              <w:sz w:val="24"/>
              <w:szCs w:val="24"/>
              <w:lang w:val="en-CA" w:eastAsia="en-CA"/>
            </w:rPr>
            <w:tab/>
          </w:r>
          <w:r>
            <w:rPr>
              <w:szCs w:val="28"/>
              <w:lang w:val="en-CA" w:eastAsia="en-CA"/>
            </w:rPr>
            <w:t>System Test</w:t>
          </w:r>
          <w:r>
            <w:rPr>
              <w:lang w:val="en-CA" w:eastAsia="en-CA"/>
            </w:rPr>
            <w:tab/>
          </w:r>
          <w:hyperlink w:anchor="__RefHeading___Toc533221995">
            <w:r>
              <w:rPr>
                <w:rStyle w:val="IndexLink"/>
                <w:lang w:val="en-CA" w:eastAsia="en-CA"/>
              </w:rPr>
              <w:t>7</w:t>
            </w:r>
          </w:hyperlink>
        </w:p>
        <w:p>
          <w:pPr>
            <w:pStyle w:val="TOC2"/>
            <w:tabs>
              <w:tab w:val="clear" w:pos="720"/>
              <w:tab w:val="left" w:pos="800" w:leader="none"/>
              <w:tab w:val="right" w:pos="9494" w:leader="dot"/>
            </w:tabs>
            <w:rPr>
              <w:caps w:val="false"/>
              <w:smallCaps w:val="false"/>
              <w:sz w:val="24"/>
              <w:szCs w:val="24"/>
              <w:lang w:val="en-CA" w:eastAsia="en-CA"/>
            </w:rPr>
          </w:pPr>
          <w:r>
            <w:rPr>
              <w:szCs w:val="24"/>
              <w:lang w:val="en-CA" w:eastAsia="en-CA"/>
            </w:rPr>
            <w:t>5.1</w:t>
          </w:r>
          <w:r>
            <w:rPr>
              <w:caps w:val="false"/>
              <w:smallCaps w:val="false"/>
              <w:sz w:val="24"/>
              <w:szCs w:val="24"/>
              <w:lang w:val="en-CA" w:eastAsia="en-CA"/>
            </w:rPr>
            <w:tab/>
          </w:r>
          <w:r>
            <w:rPr>
              <w:szCs w:val="24"/>
              <w:lang w:val="en-CA" w:eastAsia="en-CA"/>
            </w:rPr>
            <w:t>Expectation(s)</w:t>
          </w:r>
          <w:r>
            <w:rPr>
              <w:lang w:val="en-CA" w:eastAsia="en-CA"/>
            </w:rPr>
            <w:tab/>
          </w:r>
          <w:hyperlink w:anchor="__RefHeading___Toc533221996">
            <w:r>
              <w:rPr>
                <w:rStyle w:val="IndexLink"/>
                <w:lang w:val="en-CA" w:eastAsia="en-CA"/>
              </w:rPr>
              <w:t>7</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6</w:t>
          </w:r>
          <w:r>
            <w:rPr>
              <w:rFonts w:cs="Times New Roman" w:ascii="Times New Roman" w:hAnsi="Times New Roman"/>
              <w:b w:val="false"/>
              <w:bCs w:val="false"/>
              <w:sz w:val="24"/>
              <w:szCs w:val="24"/>
              <w:lang w:val="en-CA" w:eastAsia="en-CA"/>
            </w:rPr>
            <w:tab/>
          </w:r>
          <w:r>
            <w:rPr>
              <w:szCs w:val="28"/>
              <w:lang w:val="en-CA" w:eastAsia="en-CA"/>
            </w:rPr>
            <w:t>Hardware Gaps Closed</w:t>
          </w:r>
          <w:r>
            <w:rPr>
              <w:lang w:val="en-CA" w:eastAsia="en-CA"/>
            </w:rPr>
            <w:tab/>
          </w:r>
          <w:hyperlink w:anchor="__RefHeading___Toc533221997">
            <w:r>
              <w:rPr>
                <w:rStyle w:val="IndexLink"/>
                <w:lang w:val="en-CA" w:eastAsia="en-CA"/>
              </w:rPr>
              <w:t>8</w:t>
            </w:r>
          </w:hyperlink>
        </w:p>
        <w:p>
          <w:pPr>
            <w:pStyle w:val="TOC1"/>
            <w:tabs>
              <w:tab w:val="clear" w:pos="720"/>
              <w:tab w:val="left" w:pos="400" w:leader="none"/>
              <w:tab w:val="right" w:pos="9494" w:leader="dot"/>
            </w:tabs>
            <w:rPr>
              <w:rFonts w:ascii="Times New Roman" w:hAnsi="Times New Roman" w:cs="Times New Roman"/>
              <w:b w:val="false"/>
              <w:bCs w:val="false"/>
              <w:sz w:val="24"/>
              <w:szCs w:val="24"/>
              <w:lang w:val="en-CA" w:eastAsia="en-CA"/>
            </w:rPr>
          </w:pPr>
          <w:r>
            <w:rPr>
              <w:szCs w:val="28"/>
              <w:lang w:val="en-CA" w:eastAsia="en-CA"/>
            </w:rPr>
            <w:t>7</w:t>
          </w:r>
          <w:r>
            <w:rPr>
              <w:rFonts w:cs="Times New Roman" w:ascii="Times New Roman" w:hAnsi="Times New Roman"/>
              <w:b w:val="false"/>
              <w:bCs w:val="false"/>
              <w:sz w:val="24"/>
              <w:szCs w:val="24"/>
              <w:lang w:val="en-CA" w:eastAsia="en-CA"/>
            </w:rPr>
            <w:tab/>
          </w:r>
          <w:r>
            <w:rPr>
              <w:szCs w:val="28"/>
              <w:lang w:val="en-CA" w:eastAsia="en-CA"/>
            </w:rPr>
            <w:t>Appendix - Related Material</w:t>
          </w:r>
          <w:r>
            <w:rPr>
              <w:lang w:val="en-CA" w:eastAsia="en-CA"/>
            </w:rPr>
            <w:tab/>
          </w:r>
          <w:hyperlink w:anchor="__RefHeading___Toc533221998">
            <w:r>
              <w:rPr>
                <w:rStyle w:val="IndexLink"/>
                <w:lang w:val="en-CA" w:eastAsia="en-CA"/>
              </w:rPr>
              <w:t>9</w:t>
            </w:r>
          </w:hyperlink>
        </w:p>
        <w:p>
          <w:pPr>
            <w:pStyle w:val="TOC1"/>
            <w:tabs>
              <w:tab w:val="clear" w:pos="720"/>
              <w:tab w:val="left" w:pos="400" w:leader="none"/>
              <w:tab w:val="right" w:pos="9494" w:leader="dot"/>
            </w:tabs>
            <w:rPr>
              <w:rFonts w:ascii="Times New Roman" w:hAnsi="Times New Roman" w:cs="Times New Roman"/>
              <w:b w:val="false"/>
              <w:sz w:val="24"/>
              <w:szCs w:val="24"/>
              <w:lang w:val="en-CA" w:eastAsia="en-CA"/>
            </w:rPr>
          </w:pPr>
          <w:r>
            <w:rPr>
              <w:bCs w:val="false"/>
              <w:szCs w:val="28"/>
              <w:lang w:val="en-CA" w:eastAsia="en-CA"/>
            </w:rPr>
            <w:t>8</w:t>
          </w:r>
          <w:r>
            <w:rPr>
              <w:rFonts w:cs="Times New Roman" w:ascii="Times New Roman" w:hAnsi="Times New Roman"/>
              <w:b w:val="false"/>
              <w:bCs w:val="false"/>
              <w:sz w:val="24"/>
              <w:szCs w:val="24"/>
              <w:lang w:val="en-CA" w:eastAsia="en-CA"/>
            </w:rPr>
            <w:tab/>
          </w:r>
          <w:r>
            <w:rPr>
              <w:bCs w:val="false"/>
              <w:szCs w:val="28"/>
              <w:lang w:val="en-CA" w:eastAsia="en-CA"/>
            </w:rPr>
            <w:t>Appendix – Support Contact Information</w:t>
          </w:r>
          <w:r>
            <w:rPr>
              <w:bCs w:val="false"/>
              <w:lang w:val="en-CA" w:eastAsia="en-CA"/>
            </w:rPr>
            <w:tab/>
          </w:r>
          <w:hyperlink w:anchor="__RefHeading___Toc533221999">
            <w:r>
              <w:rPr>
                <w:rStyle w:val="IndexLink"/>
                <w:bCs w:val="false"/>
                <w:lang w:val="en-CA" w:eastAsia="en-CA"/>
              </w:rPr>
              <w:t>10</w:t>
            </w:r>
          </w:hyperlink>
          <w:r>
            <w:rPr>
              <w:rStyle w:val="IndexLink"/>
              <w:bCs w:val="false"/>
              <w:lang w:val="en-CA" w:eastAsia="en-CA"/>
            </w:rPr>
            <w:fldChar w:fldCharType="end"/>
          </w:r>
        </w:p>
      </w:sdtContent>
    </w:sdt>
    <w:p>
      <w:pPr>
        <w:pStyle w:val="Heading"/>
        <w:numPr>
          <w:ilvl w:val="0"/>
          <w:numId w:val="0"/>
        </w:numPr>
        <w:jc w:val="both"/>
        <w:outlineLvl w:val="0"/>
        <w:rPr>
          <w:rFonts w:ascii="Times New Roman" w:hAnsi="Times New Roman" w:cs="Times New Roman"/>
          <w:b w:val="false"/>
          <w:bCs/>
          <w:sz w:val="24"/>
          <w:szCs w:val="24"/>
          <w:lang w:val="en-CA" w:eastAsia="en-CA"/>
        </w:rPr>
      </w:pPr>
      <w:r>
        <w:rPr>
          <w:rFonts w:cs="Times New Roman" w:ascii="Times New Roman" w:hAnsi="Times New Roman"/>
          <w:b w:val="false"/>
          <w:bCs/>
          <w:sz w:val="24"/>
          <w:szCs w:val="24"/>
          <w:lang w:val="en-CA" w:eastAsia="en-CA"/>
        </w:rPr>
      </w:r>
    </w:p>
    <w:p>
      <w:pPr>
        <w:pStyle w:val="Heading1"/>
        <w:rPr/>
      </w:pPr>
      <w:bookmarkStart w:id="6" w:name="__RefHeading___Toc533221986"/>
      <w:bookmarkEnd w:id="6"/>
      <w:r>
        <w:rPr/>
        <w:t>Description</w:t>
      </w:r>
    </w:p>
    <w:p>
      <w:pPr>
        <w:pStyle w:val="Normal"/>
        <w:rPr/>
      </w:pPr>
      <w:r>
        <w:rPr/>
      </w:r>
    </w:p>
    <w:p>
      <w:pPr>
        <w:pStyle w:val="Normal"/>
        <w:ind w:hanging="19" w:start="450" w:end="0"/>
        <w:rPr/>
      </w:pPr>
      <w:r>
        <w:rPr/>
        <w:t>Gas Fundamentals servers and suite of Application products provide the following services:</w:t>
      </w:r>
    </w:p>
    <w:p>
      <w:pPr>
        <w:pStyle w:val="Normal"/>
        <w:ind w:hanging="19" w:start="450" w:end="0"/>
        <w:rPr/>
      </w:pPr>
      <w:r>
        <w:rPr/>
      </w:r>
    </w:p>
    <w:p>
      <w:pPr>
        <w:pStyle w:val="Normal"/>
        <w:numPr>
          <w:ilvl w:val="0"/>
          <w:numId w:val="2"/>
        </w:numPr>
        <w:rPr/>
      </w:pPr>
      <w:r>
        <w:rPr/>
        <w:t>Jaguar ETLM (Extraction, Transformation, Loading, &amp; Messaging) – Capture, transformation and storage of business critical fundamental information. At present capturing operational capacity for all North American (and some Canadian) pipelines, Weather (forecast, current, and historical), power plant load information, and Pipeline Critical Notices.</w:t>
      </w:r>
    </w:p>
    <w:p>
      <w:pPr>
        <w:pStyle w:val="Normal"/>
        <w:numPr>
          <w:ilvl w:val="0"/>
          <w:numId w:val="2"/>
        </w:numPr>
        <w:rPr/>
      </w:pPr>
      <w:r>
        <w:rPr/>
        <w:t>Commodity Fundamentals - Shared "portal" site across multiple commodities.  While building on the technology utilized in the Gas Fundamentals Website, we have been able to improve upon it's design, and offer the ability to view all other similar site's content.  The mission is to be a common place for traders of different commodities to have access to whatever information they may need.</w:t>
      </w:r>
    </w:p>
    <w:p>
      <w:pPr>
        <w:pStyle w:val="Normal"/>
        <w:numPr>
          <w:ilvl w:val="0"/>
          <w:numId w:val="2"/>
        </w:numPr>
        <w:rPr/>
      </w:pPr>
      <w:r>
        <w:rPr/>
        <w:t>Market Data Price Feed - Development and support of plasma screens and models displayed therein.  Providing content and analysis from both Market Data and EOL</w:t>
      </w:r>
    </w:p>
    <w:p>
      <w:pPr>
        <w:pStyle w:val="Normal"/>
        <w:numPr>
          <w:ilvl w:val="0"/>
          <w:numId w:val="2"/>
        </w:numPr>
        <w:rPr/>
      </w:pPr>
      <w:r>
        <w:rPr/>
        <w:t>Operational Capacity Reporting - Construction of excel/PDF/interactive operational reports for gas trade function, delivering daily operations reports.</w:t>
      </w:r>
    </w:p>
    <w:p>
      <w:pPr>
        <w:pStyle w:val="Normal"/>
        <w:numPr>
          <w:ilvl w:val="0"/>
          <w:numId w:val="2"/>
        </w:numPr>
        <w:rPr/>
      </w:pPr>
      <w:r>
        <w:rPr/>
        <w:t>Content Management - Create and maintain commodity-based information to be presented through the commodity portal.  Gas Fundamentals focuses on creating/maintaining gas related data available in a variety of formats (ASP, PDF, HTML).  This data is presented through our Web portal in numerous manners.</w:t>
      </w:r>
    </w:p>
    <w:p>
      <w:pPr>
        <w:pStyle w:val="Normal"/>
        <w:numPr>
          <w:ilvl w:val="0"/>
          <w:numId w:val="2"/>
        </w:numPr>
        <w:rPr/>
      </w:pPr>
      <w:r>
        <w:rPr/>
        <w:t>People’s Energy Website – Website providing nominations/origination information between People’s Energy and Enron.  Will not be transitioned to the new company.</w:t>
      </w:r>
    </w:p>
    <w:p>
      <w:pPr>
        <w:pStyle w:val="Normal"/>
        <w:ind w:start="810" w:end="0"/>
        <w:rPr>
          <w:sz w:val="24"/>
        </w:rPr>
      </w:pPr>
      <w:r>
        <w:rPr>
          <w:sz w:val="24"/>
        </w:rPr>
      </w:r>
    </w:p>
    <w:p>
      <w:pPr>
        <w:pStyle w:val="Heading1"/>
        <w:rPr/>
      </w:pPr>
      <w:bookmarkStart w:id="7" w:name="__RefHeading___Toc533221987"/>
      <w:bookmarkEnd w:id="7"/>
      <w:r>
        <w:rPr/>
        <w:t>Assumptions</w:t>
      </w:r>
    </w:p>
    <w:p>
      <w:pPr>
        <w:pStyle w:val="Normal"/>
        <w:rPr/>
      </w:pPr>
      <w:r>
        <w:rPr/>
      </w:r>
    </w:p>
    <w:p>
      <w:pPr>
        <w:pStyle w:val="Normal"/>
        <w:rPr/>
      </w:pPr>
      <w:r>
        <w:rPr/>
        <w:t>The following is a list of assumptions pertaining to the transition of these systems.</w:t>
      </w:r>
    </w:p>
    <w:p>
      <w:pPr>
        <w:pStyle w:val="Normal"/>
        <w:rPr/>
      </w:pPr>
      <w:r>
        <w:rPr/>
      </w:r>
    </w:p>
    <w:p>
      <w:pPr>
        <w:pStyle w:val="Normal"/>
        <w:numPr>
          <w:ilvl w:val="0"/>
          <w:numId w:val="3"/>
        </w:numPr>
        <w:rPr/>
      </w:pPr>
      <w:r>
        <w:rPr/>
        <w:t>Servers will be on a network accessible to other core systems such as Market Data, and file system storage location, and the TIBCO RV real-time weather broadcast.</w:t>
      </w:r>
    </w:p>
    <w:p>
      <w:pPr>
        <w:pStyle w:val="Normal"/>
        <w:numPr>
          <w:ilvl w:val="0"/>
          <w:numId w:val="3"/>
        </w:numPr>
        <w:rPr/>
      </w:pPr>
      <w:r>
        <w:rPr/>
        <w:t xml:space="preserve">Servers will exist in a new common domain. </w:t>
      </w:r>
    </w:p>
    <w:p>
      <w:pPr>
        <w:pStyle w:val="Normal"/>
        <w:numPr>
          <w:ilvl w:val="0"/>
          <w:numId w:val="3"/>
        </w:numPr>
        <w:rPr/>
      </w:pPr>
      <w:r>
        <w:rPr/>
        <w:t>Web Operations team will be available to assist us in transferring our websites, applications, and configuration of user accounts.</w:t>
      </w:r>
    </w:p>
    <w:p>
      <w:pPr>
        <w:pStyle w:val="Normal"/>
        <w:numPr>
          <w:ilvl w:val="0"/>
          <w:numId w:val="3"/>
        </w:numPr>
        <w:rPr/>
      </w:pPr>
      <w:r>
        <w:rPr/>
        <w:t>Applications that benefit Gas Fundamentals pre-trade analysis only need not be preserved in estate.</w:t>
      </w:r>
    </w:p>
    <w:p>
      <w:pPr>
        <w:pStyle w:val="Normal"/>
        <w:numPr>
          <w:ilvl w:val="0"/>
          <w:numId w:val="3"/>
        </w:numPr>
        <w:rPr/>
      </w:pPr>
      <w:r>
        <w:rPr/>
        <w:t>Software licenses are non-transferable.</w:t>
      </w:r>
    </w:p>
    <w:p>
      <w:pPr>
        <w:pStyle w:val="Normal"/>
        <w:rPr/>
      </w:pPr>
      <w:r>
        <w:rPr/>
      </w:r>
    </w:p>
    <w:p>
      <w:pPr>
        <w:pStyle w:val="Heading2"/>
        <w:rPr/>
      </w:pPr>
      <w:bookmarkStart w:id="8" w:name="__RefHeading___Toc533221988"/>
      <w:bookmarkEnd w:id="8"/>
      <w:r>
        <w:rPr/>
        <w:t>Data Conversions</w:t>
      </w:r>
    </w:p>
    <w:p>
      <w:pPr>
        <w:pStyle w:val="Normal"/>
        <w:rPr/>
      </w:pPr>
      <w:r>
        <w:rPr/>
      </w:r>
    </w:p>
    <w:p>
      <w:pPr>
        <w:pStyle w:val="Normal"/>
        <w:rPr/>
      </w:pPr>
      <w:r>
        <w:rPr/>
        <w:t>The following data conversions will need to occur during the transition of these systems.</w:t>
      </w:r>
    </w:p>
    <w:p>
      <w:pPr>
        <w:pStyle w:val="Normal"/>
        <w:numPr>
          <w:ilvl w:val="0"/>
          <w:numId w:val="6"/>
        </w:numPr>
        <w:rPr/>
      </w:pPr>
      <w:r>
        <w:rPr/>
        <w:t>All production data will need to be loaded to current “staging” servers that will become the estate’s production servers.</w:t>
      </w:r>
    </w:p>
    <w:p>
      <w:pPr>
        <w:pStyle w:val="Normal"/>
        <w:rPr/>
      </w:pPr>
      <w:r>
        <w:rPr/>
      </w:r>
    </w:p>
    <w:p>
      <w:pPr>
        <w:pStyle w:val="Normal"/>
        <w:rPr/>
      </w:pPr>
      <w:r>
        <w:rPr/>
      </w:r>
    </w:p>
    <w:p>
      <w:pPr>
        <w:pStyle w:val="Heading1"/>
        <w:rPr/>
      </w:pPr>
      <w:bookmarkStart w:id="9" w:name="__RefHeading___Toc533221989"/>
      <w:bookmarkEnd w:id="9"/>
      <w:r>
        <w:rPr/>
        <w:t>Dependencies</w:t>
      </w:r>
    </w:p>
    <w:p>
      <w:pPr>
        <w:pStyle w:val="Heading2"/>
        <w:rPr/>
      </w:pPr>
      <w:bookmarkStart w:id="10" w:name="__RefHeading___Toc533221990"/>
      <w:bookmarkEnd w:id="10"/>
      <w:r>
        <w:rPr/>
        <w:t>Legal Entities</w:t>
      </w:r>
    </w:p>
    <w:p>
      <w:pPr>
        <w:pStyle w:val="Normal"/>
        <w:rPr/>
      </w:pPr>
      <w:r>
        <w:rPr/>
      </w:r>
    </w:p>
    <w:p>
      <w:pPr>
        <w:pStyle w:val="Normal"/>
        <w:rPr/>
      </w:pPr>
      <w:r>
        <w:rPr/>
        <w:t>At this time there is no reliance on any contracts pertaining to the operations of the Gas Fundamentals applications are hardware with the exceptions of software licenses.</w:t>
      </w:r>
    </w:p>
    <w:p>
      <w:pPr>
        <w:pStyle w:val="Normal"/>
        <w:rPr/>
      </w:pPr>
      <w:r>
        <w:rPr/>
      </w:r>
    </w:p>
    <w:p>
      <w:pPr>
        <w:pStyle w:val="Heading2"/>
        <w:rPr/>
      </w:pPr>
      <w:bookmarkStart w:id="11" w:name="__RefHeading___Toc533221991"/>
      <w:bookmarkEnd w:id="11"/>
      <w:r>
        <w:rPr/>
        <w:t>Key Setup</w:t>
      </w:r>
    </w:p>
    <w:p>
      <w:pPr>
        <w:pStyle w:val="Normal"/>
        <w:rPr>
          <w:sz w:val="24"/>
        </w:rPr>
      </w:pPr>
      <w:r>
        <w:rPr>
          <w:sz w:val="24"/>
        </w:rPr>
      </w:r>
    </w:p>
    <w:p>
      <w:pPr>
        <w:pStyle w:val="Normal"/>
        <w:rPr/>
      </w:pPr>
      <w:r>
        <w:rPr/>
        <w:t>Gas Fundamentals will handle all issues pertaining to the setup of their servers and applications within the new company.  Following are the prerequisites that will need to be completed before Gas Fundamentals can perform this transition:</w:t>
      </w:r>
    </w:p>
    <w:p>
      <w:pPr>
        <w:pStyle w:val="Normal"/>
        <w:numPr>
          <w:ilvl w:val="0"/>
          <w:numId w:val="4"/>
        </w:numPr>
        <w:rPr/>
      </w:pPr>
      <w:r>
        <w:rPr/>
        <w:t>Proper user groups and accounts are created within the new domain, with same level of access rights.</w:t>
      </w:r>
    </w:p>
    <w:p>
      <w:pPr>
        <w:pStyle w:val="Normal"/>
        <w:numPr>
          <w:ilvl w:val="0"/>
          <w:numId w:val="4"/>
        </w:numPr>
        <w:rPr/>
      </w:pPr>
      <w:r>
        <w:rPr/>
        <w:t>Areas of file server storage are identified for harvesting, web, and other application content.</w:t>
      </w:r>
    </w:p>
    <w:p>
      <w:pPr>
        <w:pStyle w:val="Normal"/>
        <w:rPr/>
      </w:pPr>
      <w:r>
        <w:rPr/>
      </w:r>
    </w:p>
    <w:p>
      <w:pPr>
        <w:pStyle w:val="Heading2"/>
        <w:rPr/>
      </w:pPr>
      <w:bookmarkStart w:id="12" w:name="__RefHeading___Toc533221992"/>
      <w:bookmarkEnd w:id="12"/>
      <w:r>
        <w:rPr/>
        <w:t>Upstream System(s)</w:t>
      </w:r>
    </w:p>
    <w:p>
      <w:pPr>
        <w:pStyle w:val="Normal"/>
        <w:rPr/>
      </w:pPr>
      <w:r>
        <w:rPr/>
      </w:r>
    </w:p>
    <w:p>
      <w:pPr>
        <w:pStyle w:val="Normal"/>
        <w:rPr/>
      </w:pPr>
      <w:r>
        <w:rPr/>
        <w:t>Gas Fundamentals is dependant upon the operations of the following upstream systems for data/services:</w:t>
      </w:r>
    </w:p>
    <w:p>
      <w:pPr>
        <w:pStyle w:val="Normal"/>
        <w:numPr>
          <w:ilvl w:val="0"/>
          <w:numId w:val="5"/>
        </w:numPr>
        <w:rPr/>
      </w:pPr>
      <w:r>
        <w:rPr/>
        <w:t>Real-time weather tibco broadcast maintained by power fundamentals.</w:t>
      </w:r>
    </w:p>
    <w:p>
      <w:pPr>
        <w:pStyle w:val="Normal"/>
        <w:numPr>
          <w:ilvl w:val="0"/>
          <w:numId w:val="5"/>
        </w:numPr>
        <w:rPr/>
      </w:pPr>
      <w:r>
        <w:rPr/>
        <w:t>Market-data pricing feeds</w:t>
      </w:r>
    </w:p>
    <w:p>
      <w:pPr>
        <w:pStyle w:val="Normal"/>
        <w:numPr>
          <w:ilvl w:val="0"/>
          <w:numId w:val="5"/>
        </w:numPr>
        <w:rPr/>
      </w:pPr>
      <w:r>
        <w:rPr/>
        <w:t>EOL real-time server</w:t>
      </w:r>
    </w:p>
    <w:p>
      <w:pPr>
        <w:pStyle w:val="Normal"/>
        <w:numPr>
          <w:ilvl w:val="0"/>
          <w:numId w:val="5"/>
        </w:numPr>
        <w:rPr/>
      </w:pPr>
      <w:r>
        <w:rPr/>
        <w:t>ERMS</w:t>
      </w:r>
    </w:p>
    <w:p>
      <w:pPr>
        <w:pStyle w:val="Normal"/>
        <w:numPr>
          <w:ilvl w:val="0"/>
          <w:numId w:val="5"/>
        </w:numPr>
        <w:rPr/>
      </w:pPr>
      <w:r>
        <w:rPr/>
        <w:t>MKM</w:t>
      </w:r>
    </w:p>
    <w:p>
      <w:pPr>
        <w:pStyle w:val="Normal"/>
        <w:rPr/>
      </w:pPr>
      <w:r>
        <w:rPr/>
      </w:r>
    </w:p>
    <w:p>
      <w:pPr>
        <w:pStyle w:val="Heading1"/>
        <w:rPr/>
      </w:pPr>
      <w:bookmarkStart w:id="13" w:name="__RefHeading___Toc533221993"/>
      <w:bookmarkEnd w:id="13"/>
      <w:r>
        <w:rPr/>
        <w:t>Unit Test</w:t>
      </w:r>
    </w:p>
    <w:p>
      <w:pPr>
        <w:pStyle w:val="Heading2"/>
        <w:rPr/>
      </w:pPr>
      <w:bookmarkStart w:id="14" w:name="__RefHeading___Toc533221994"/>
      <w:bookmarkEnd w:id="14"/>
      <w:r>
        <w:rPr/>
        <w:t>Application(s)</w:t>
      </w:r>
    </w:p>
    <w:p>
      <w:pPr>
        <w:pStyle w:val="Normal"/>
        <w:rPr/>
      </w:pPr>
      <w:r>
        <w:rPr/>
      </w:r>
    </w:p>
    <w:p>
      <w:pPr>
        <w:pStyle w:val="Normal"/>
        <w:rPr/>
      </w:pPr>
      <w:r>
        <w:rPr/>
        <w:t>Unit testing includes the following for each application.</w:t>
      </w:r>
    </w:p>
    <w:p>
      <w:pPr>
        <w:pStyle w:val="Normal"/>
        <w:rPr/>
      </w:pPr>
      <w:r>
        <w:rPr/>
      </w:r>
    </w:p>
    <w:p>
      <w:pPr>
        <w:pStyle w:val="Normal"/>
        <w:rPr/>
      </w:pPr>
      <w:r>
        <w:rPr>
          <w:b/>
          <w:bCs/>
        </w:rPr>
        <w:t>Jaguar ETLM –</w:t>
      </w:r>
      <w:r>
        <w:rPr/>
        <w:t xml:space="preserve"> Review that all jobs are transferred and scheduled to execute properly.  Confirm that all associated COM objects are running under the proper user context.  Ensure that all jobs are able to execute in both estate and the environment capturing all data, and loading it into our data-store.  Perform testing with messaging to alert job on job failures.</w:t>
      </w:r>
    </w:p>
    <w:p>
      <w:pPr>
        <w:pStyle w:val="Normal"/>
        <w:rPr/>
      </w:pPr>
      <w:r>
        <w:rPr/>
      </w:r>
    </w:p>
    <w:p>
      <w:pPr>
        <w:pStyle w:val="Normal"/>
        <w:rPr/>
      </w:pPr>
      <w:r>
        <w:rPr>
          <w:b/>
          <w:bCs/>
        </w:rPr>
        <w:t xml:space="preserve">Commodity Fundamentals – </w:t>
      </w:r>
      <w:r>
        <w:rPr/>
        <w:t>Test on client browser to ensure access to the website and its content is available.  Test the different security levels within the website for restricted content.  Verify that key features such as the messageboard are operable.</w:t>
      </w:r>
    </w:p>
    <w:p>
      <w:pPr>
        <w:pStyle w:val="Normal"/>
        <w:rPr/>
      </w:pPr>
      <w:r>
        <w:rPr/>
      </w:r>
    </w:p>
    <w:p>
      <w:pPr>
        <w:pStyle w:val="Normal"/>
        <w:rPr/>
      </w:pPr>
      <w:r>
        <w:rPr>
          <w:b/>
          <w:bCs/>
        </w:rPr>
        <w:t xml:space="preserve">Market Data Price Feed </w:t>
      </w:r>
      <w:r>
        <w:rPr/>
        <w:t>– Test EOL real-time services to validate price capture.  Test plasma interfaces for existence of data via EOL and Market Data.</w:t>
      </w:r>
    </w:p>
    <w:p>
      <w:pPr>
        <w:pStyle w:val="Normal"/>
        <w:rPr/>
      </w:pPr>
      <w:r>
        <w:rPr/>
      </w:r>
    </w:p>
    <w:p>
      <w:pPr>
        <w:pStyle w:val="Normal"/>
        <w:rPr/>
      </w:pPr>
      <w:r>
        <w:rPr>
          <w:b/>
          <w:bCs/>
        </w:rPr>
        <w:t xml:space="preserve">Operational Capacity Reporting – </w:t>
      </w:r>
      <w:r>
        <w:rPr/>
        <w:t>Confirm that all client machines have access to the file-share where they will be generating reports, as well as their configuration files.  Ensure all clients are active in the new domain.  Perform dry run tests once data is migrated to generate all operation reports. Review cube processing to validate the availability of historical data.</w:t>
      </w:r>
    </w:p>
    <w:p>
      <w:pPr>
        <w:pStyle w:val="Normal"/>
        <w:rPr>
          <w:b/>
          <w:bCs/>
        </w:rPr>
      </w:pPr>
      <w:r>
        <w:rPr>
          <w:b/>
          <w:bCs/>
        </w:rPr>
      </w:r>
    </w:p>
    <w:p>
      <w:pPr>
        <w:pStyle w:val="Normal"/>
        <w:rPr/>
      </w:pPr>
      <w:r>
        <w:rPr>
          <w:b/>
          <w:bCs/>
        </w:rPr>
        <w:t xml:space="preserve">Content Management – </w:t>
      </w:r>
      <w:r>
        <w:rPr/>
        <w:t>Review permissions on file-share cross referencing the current security model document.  Validate that proper accounts were created in the new domain to access content data.  Check directory file sizes to ensure that all data has been migrated.</w:t>
      </w:r>
    </w:p>
    <w:p>
      <w:pPr>
        <w:pStyle w:val="Normal"/>
        <w:rPr>
          <w:b/>
          <w:bCs/>
        </w:rPr>
      </w:pPr>
      <w:r>
        <w:rPr>
          <w:b/>
          <w:bCs/>
        </w:rPr>
      </w:r>
    </w:p>
    <w:p>
      <w:pPr>
        <w:pStyle w:val="Normal"/>
        <w:rPr/>
      </w:pPr>
      <w:r>
        <w:rPr>
          <w:b/>
          <w:bCs/>
        </w:rPr>
        <w:t xml:space="preserve">People’s Energy – </w:t>
      </w:r>
      <w:r>
        <w:rPr/>
        <w:t>Production website lives on the Extranet cluster and will not be migrated to the new company.  This should require no testing or changes.</w:t>
      </w:r>
    </w:p>
    <w:p>
      <w:pPr>
        <w:pStyle w:val="CommentText"/>
        <w:rPr/>
      </w:pPr>
      <w:r>
        <w:rPr/>
      </w:r>
    </w:p>
    <w:p>
      <w:pPr>
        <w:pStyle w:val="Normal"/>
        <w:rPr/>
      </w:pPr>
      <w:r>
        <w:rPr/>
      </w:r>
    </w:p>
    <w:p>
      <w:pPr>
        <w:pStyle w:val="Normal"/>
        <w:rPr/>
      </w:pPr>
      <w:r>
        <w:rPr/>
      </w:r>
    </w:p>
    <w:p>
      <w:pPr>
        <w:pStyle w:val="Heading1"/>
        <w:rPr/>
      </w:pPr>
      <w:bookmarkStart w:id="15" w:name="__RefHeading___Toc533221995"/>
      <w:bookmarkEnd w:id="15"/>
      <w:r>
        <w:rPr/>
        <w:t>System Test</w:t>
      </w:r>
    </w:p>
    <w:p>
      <w:pPr>
        <w:pStyle w:val="Heading2"/>
        <w:rPr/>
      </w:pPr>
      <w:bookmarkStart w:id="16" w:name="__RefHeading___Toc533221996"/>
      <w:bookmarkEnd w:id="16"/>
      <w:r>
        <w:rPr/>
        <w:t>Expectation(s)</w:t>
      </w:r>
    </w:p>
    <w:p>
      <w:pPr>
        <w:pStyle w:val="Normal"/>
        <w:rPr/>
      </w:pPr>
      <w:r>
        <w:rPr/>
      </w:r>
    </w:p>
    <w:p>
      <w:pPr>
        <w:pStyle w:val="Normal"/>
        <w:rPr/>
      </w:pPr>
      <w:r>
        <w:rPr/>
        <w:t>The expectation for the system test is that the Gas Fundamentals team will provide installation and troubleshooting on their different areas of expertise.  Each application will be tested in development and production in the new environment, as well as installing and troubleshooting the estate production environment.  Gas Fundamentals will work closely with the business Gas Fundamentals team to ensure all systems are functioning as required.</w:t>
      </w:r>
    </w:p>
    <w:p>
      <w:pPr>
        <w:pStyle w:val="Normal"/>
        <w:rPr/>
      </w:pPr>
      <w:r>
        <w:rPr/>
      </w:r>
    </w:p>
    <w:p>
      <w:pPr>
        <w:pStyle w:val="Normal"/>
        <w:rPr/>
      </w:pPr>
      <w:r>
        <w:rPr/>
      </w:r>
    </w:p>
    <w:p>
      <w:pPr>
        <w:pStyle w:val="Heading1"/>
        <w:rPr/>
      </w:pPr>
      <w:bookmarkStart w:id="17" w:name="__RefHeading___Toc533221997"/>
      <w:bookmarkEnd w:id="17"/>
      <w:r>
        <w:rPr/>
        <w:t>Hardware Gaps Closed</w:t>
      </w:r>
    </w:p>
    <w:p>
      <w:pPr>
        <w:pStyle w:val="Normal"/>
        <w:rPr/>
      </w:pPr>
      <w:r>
        <w:rPr/>
      </w:r>
    </w:p>
    <w:p>
      <w:pPr>
        <w:pStyle w:val="Normal"/>
        <w:rPr/>
      </w:pPr>
      <w:r>
        <w:rPr/>
      </w:r>
    </w:p>
    <w:p>
      <w:pPr>
        <w:pStyle w:val="Normal"/>
        <w:spacing w:lineRule="atLeast" w:line="240"/>
        <w:rPr>
          <w:lang w:val="en-AU"/>
        </w:rPr>
      </w:pPr>
      <w:r>
        <w:rPr>
          <w:lang w:val="en-AU"/>
        </w:rPr>
      </w:r>
    </w:p>
    <w:p>
      <w:pPr>
        <w:pStyle w:val="Normal"/>
        <w:spacing w:lineRule="atLeast" w:line="240"/>
        <w:rPr>
          <w:lang w:val="en-AU"/>
        </w:rPr>
      </w:pPr>
      <w:r>
        <w:rPr>
          <w:lang w:val="en-AU"/>
        </w:rPr>
      </w:r>
    </w:p>
    <w:p>
      <w:pPr>
        <w:pStyle w:val="Normal"/>
        <w:spacing w:lineRule="atLeast" w:line="240"/>
        <w:rPr>
          <w:lang w:val="en-AU"/>
        </w:rPr>
      </w:pPr>
      <w:r>
        <w:rPr>
          <w:lang w:val="en-AU"/>
        </w:rPr>
      </w:r>
    </w:p>
    <w:p>
      <w:pPr>
        <w:pStyle w:val="Normal"/>
        <w:spacing w:lineRule="atLeast" w:line="240"/>
        <w:rPr>
          <w:lang w:val="en-AU"/>
        </w:rPr>
      </w:pPr>
      <w:r>
        <w:rPr>
          <w:lang w:val="en-AU"/>
        </w:rPr>
      </w:r>
    </w:p>
    <w:p>
      <w:pPr>
        <w:pStyle w:val="Heading1"/>
        <w:rPr/>
      </w:pPr>
      <w:bookmarkStart w:id="18" w:name="__RefHeading___Toc533221998"/>
      <w:bookmarkStart w:id="19" w:name="RELATED_MATERIAL"/>
      <w:bookmarkEnd w:id="18"/>
      <w:bookmarkEnd w:id="19"/>
      <w:r>
        <w:rPr/>
        <w:t>Appendix - Related Material</w:t>
      </w:r>
    </w:p>
    <w:p>
      <w:pPr>
        <w:pStyle w:val="Normal"/>
        <w:rPr/>
      </w:pPr>
      <w:r>
        <w:rPr/>
      </w:r>
    </w:p>
    <w:p>
      <w:pPr>
        <w:pStyle w:val="Normal"/>
        <w:rPr/>
      </w:pPr>
      <w:r>
        <w:rPr/>
        <w:t>The list below provides information that is necessary for the transition of this system.</w:t>
      </w:r>
    </w:p>
    <w:p>
      <w:pPr>
        <w:pStyle w:val="Normal"/>
        <w:rPr/>
      </w:pPr>
      <w:r>
        <w:rPr/>
      </w:r>
    </w:p>
    <w:tbl>
      <w:tblPr>
        <w:tblW w:w="9468" w:type="dxa"/>
        <w:jc w:val="start"/>
        <w:tblInd w:w="0" w:type="dxa"/>
        <w:tblLayout w:type="fixed"/>
        <w:tblCellMar>
          <w:top w:w="0" w:type="dxa"/>
          <w:start w:w="108" w:type="dxa"/>
          <w:bottom w:w="0" w:type="dxa"/>
          <w:end w:w="108" w:type="dxa"/>
        </w:tblCellMar>
      </w:tblPr>
      <w:tblGrid>
        <w:gridCol w:w="3240"/>
        <w:gridCol w:w="6228"/>
      </w:tblGrid>
      <w:tr>
        <w:trPr/>
        <w:tc>
          <w:tcPr>
            <w:tcW w:w="324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Material Reference</w:t>
            </w:r>
          </w:p>
        </w:tc>
        <w:tc>
          <w:tcPr>
            <w:tcW w:w="6228"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Location / URL</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b/>
                <w:bCs/>
                <w:color w:val="FFFFFF"/>
                <w:sz w:val="24"/>
              </w:rPr>
            </w:pPr>
            <w:r>
              <w:rPr>
                <w:b/>
                <w:bCs/>
                <w:color w:val="FFFFFF"/>
                <w:sz w:val="24"/>
              </w:rPr>
            </w:r>
          </w:p>
        </w:tc>
        <w:tc>
          <w:tcPr>
            <w:tcW w:w="62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6228"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ing1"/>
        <w:rPr/>
      </w:pPr>
      <w:bookmarkStart w:id="20" w:name="__RefHeading___Toc533221999"/>
      <w:bookmarkEnd w:id="20"/>
      <w:r>
        <w:rPr/>
        <w:t>Appendix – Support Contact Information</w:t>
      </w:r>
    </w:p>
    <w:p>
      <w:pPr>
        <w:pStyle w:val="Normal"/>
        <w:rPr/>
      </w:pPr>
      <w:r>
        <w:rPr/>
      </w:r>
    </w:p>
    <w:p>
      <w:pPr>
        <w:pStyle w:val="Normal"/>
        <w:rPr/>
      </w:pPr>
      <w:r>
        <w:rPr/>
        <w:t>The following person(s) provide support and can provide help or information related to the following area(s):</w:t>
      </w:r>
    </w:p>
    <w:p>
      <w:pPr>
        <w:pStyle w:val="Normal"/>
        <w:rPr/>
      </w:pPr>
      <w:r>
        <w:rPr/>
      </w:r>
    </w:p>
    <w:tbl>
      <w:tblPr>
        <w:tblW w:w="9720" w:type="dxa"/>
        <w:jc w:val="start"/>
        <w:tblInd w:w="0" w:type="dxa"/>
        <w:tblLayout w:type="fixed"/>
        <w:tblCellMar>
          <w:top w:w="0" w:type="dxa"/>
          <w:start w:w="108" w:type="dxa"/>
          <w:bottom w:w="0" w:type="dxa"/>
          <w:end w:w="108" w:type="dxa"/>
        </w:tblCellMar>
      </w:tblPr>
      <w:tblGrid>
        <w:gridCol w:w="3240"/>
        <w:gridCol w:w="3240"/>
        <w:gridCol w:w="3240"/>
      </w:tblGrid>
      <w:tr>
        <w:trPr/>
        <w:tc>
          <w:tcPr>
            <w:tcW w:w="324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Area of Expertise</w:t>
            </w:r>
          </w:p>
        </w:tc>
        <w:tc>
          <w:tcPr>
            <w:tcW w:w="324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Name</w:t>
            </w:r>
          </w:p>
        </w:tc>
        <w:tc>
          <w:tcPr>
            <w:tcW w:w="3240" w:type="dxa"/>
            <w:tcBorders>
              <w:top w:val="single" w:sz="4" w:space="0" w:color="000000"/>
              <w:start w:val="single" w:sz="4" w:space="0" w:color="000000"/>
              <w:bottom w:val="single" w:sz="4" w:space="0" w:color="000000"/>
              <w:end w:val="single" w:sz="4" w:space="0" w:color="000000"/>
            </w:tcBorders>
            <w:shd w:fill="000000" w:val="clear"/>
          </w:tcPr>
          <w:p>
            <w:pPr>
              <w:pStyle w:val="Normal"/>
              <w:jc w:val="center"/>
              <w:rPr>
                <w:b/>
                <w:bCs/>
                <w:color w:val="FFFFFF"/>
                <w:sz w:val="24"/>
              </w:rPr>
            </w:pPr>
            <w:r>
              <w:rPr>
                <w:b/>
                <w:bCs/>
                <w:color w:val="FFFFFF"/>
                <w:sz w:val="24"/>
              </w:rPr>
              <w:t>Contact Information</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Gas Fundamentals Systems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David Dronet</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713-345-3485</w:t>
            </w:r>
          </w:p>
          <w:p>
            <w:pPr>
              <w:pStyle w:val="Normal"/>
              <w:rPr/>
            </w:pPr>
            <w:r>
              <w:rPr/>
              <w:t>David.Dronet@enron.com</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Commodity Fundamentals</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David Woodstrom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713-345-3454</w:t>
            </w:r>
          </w:p>
          <w:p>
            <w:pPr>
              <w:pStyle w:val="Normal"/>
              <w:rPr/>
            </w:pPr>
            <w:r>
              <w:rPr/>
              <w:t>David.Woodstrom@enron.com</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Jaguar ETLM</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Eddie Zhang</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713-345-4598</w:t>
            </w:r>
          </w:p>
          <w:p>
            <w:pPr>
              <w:pStyle w:val="Normal"/>
              <w:rPr/>
            </w:pPr>
            <w:r>
              <w:rPr/>
              <w:t>Eddie.Zhang@enron.com</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Operational Capacity Reporting</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Kim Alexander</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713-345-3868</w:t>
            </w:r>
          </w:p>
          <w:p>
            <w:pPr>
              <w:pStyle w:val="Normal"/>
              <w:rPr/>
            </w:pPr>
            <w:r>
              <w:rPr/>
              <w:t>Kim.D.Alexander@enron.com</w:t>
            </w:r>
          </w:p>
        </w:tc>
      </w:tr>
      <w:tr>
        <w:trPr/>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Market Data / Harvesting</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Franky Sulistio</w:t>
            </w:r>
          </w:p>
        </w:tc>
        <w:tc>
          <w:tcPr>
            <w:tcW w:w="3240" w:type="dxa"/>
            <w:tcBorders>
              <w:top w:val="single" w:sz="4" w:space="0" w:color="000000"/>
              <w:start w:val="single" w:sz="4" w:space="0" w:color="000000"/>
              <w:bottom w:val="single" w:sz="4" w:space="0" w:color="000000"/>
              <w:end w:val="single" w:sz="4" w:space="0" w:color="000000"/>
            </w:tcBorders>
          </w:tcPr>
          <w:p>
            <w:pPr>
              <w:pStyle w:val="Normal"/>
              <w:rPr/>
            </w:pPr>
            <w:r>
              <w:rPr/>
              <w:t>713-345-3611</w:t>
            </w:r>
          </w:p>
          <w:p>
            <w:pPr>
              <w:pStyle w:val="Normal"/>
              <w:rPr/>
            </w:pPr>
            <w:r>
              <w:rPr/>
              <w:t>Franky.Sulistio@enron.com</w:t>
            </w:r>
          </w:p>
        </w:tc>
      </w:tr>
    </w:tbl>
    <w:p>
      <w:pPr>
        <w:pStyle w:val="CommentText"/>
        <w:rPr/>
      </w:pPr>
      <w:r>
        <w:rPr/>
      </w:r>
    </w:p>
    <w:sectPr>
      <w:headerReference w:type="default" r:id="rId6"/>
      <w:headerReference w:type="first" r:id="rId7"/>
      <w:footerReference w:type="default" r:id="rId8"/>
      <w:footerReference w:type="first" r:id="rId9"/>
      <w:type w:val="nextPage"/>
      <w:pgSz w:w="12240" w:h="15840"/>
      <w:pgMar w:left="1440" w:right="129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Fonts w:ascii="Arial" w:hAnsi="Arial" w:cs="Arial"/>
        <w:b/>
        <w:color w:val="0000FF"/>
      </w:rPr>
    </w:pPr>
    <w:r>
      <mc:AlternateContent>
        <mc:Choice Requires="wps">
          <w:drawing>
            <wp:anchor behindDoc="1" distT="0" distB="0" distL="114935" distR="114935" simplePos="0" locked="0" layoutInCell="1" allowOverlap="1" relativeHeight="48">
              <wp:simplePos x="0" y="0"/>
              <wp:positionH relativeFrom="column">
                <wp:posOffset>-45720</wp:posOffset>
              </wp:positionH>
              <wp:positionV relativeFrom="paragraph">
                <wp:posOffset>-60960</wp:posOffset>
              </wp:positionV>
              <wp:extent cx="5577840" cy="0"/>
              <wp:effectExtent l="0" t="14605" r="0" b="14605"/>
              <wp:wrapNone/>
              <wp:docPr id="5"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4.8pt" to="435.55pt,-4.8pt" stroked="t" o:allowincell="f" style="position:absolute">
              <v:stroke color="blue" weight="28440" joinstyle="miter" endcap="flat"/>
              <v:fill o:detectmouseclick="t" on="false"/>
              <w10:wrap type="none"/>
            </v:line>
          </w:pict>
        </mc:Fallback>
      </mc:AlternateContent>
    </w:r>
    <w:r>
      <w:rPr>
        <w:rFonts w:cs="Arial" w:ascii="Arial" w:hAnsi="Arial"/>
        <w:b/>
        <w:color w:val="0000FF"/>
      </w:rPr>
      <w:t>Enron Net Works</w:t>
    </w:r>
    <w:r>
      <mc:AlternateContent>
        <mc:Choice Requires="wps">
          <w:drawing>
            <wp:anchor behindDoc="0" distT="0" distB="0" distL="0" distR="0" simplePos="0" locked="0" layoutInCell="0" allowOverlap="1" relativeHeight="12">
              <wp:simplePos x="0" y="0"/>
              <wp:positionH relativeFrom="margin">
                <wp:align>right</wp:align>
              </wp:positionH>
              <wp:positionV relativeFrom="paragraph">
                <wp:posOffset>635</wp:posOffset>
              </wp:positionV>
              <wp:extent cx="128270" cy="146685"/>
              <wp:effectExtent l="0" t="0" r="0" b="0"/>
              <wp:wrapSquare wrapText="bothSides"/>
              <wp:docPr id="6" name="Frame2"/>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10</w:t>
                          </w:r>
                          <w:r>
                            <w:rPr>
                              <w:rStyle w:val="PageNumber"/>
                              <w:b/>
                              <w:color w:val="0000FF"/>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65.1pt;mso-position-horizontal:right;mso-position-horizontal-relative:margin">
              <v:fill opacity="0f"/>
              <v:textbox inset="0in,0in,0in,0in">
                <w:txbxContent>
                  <w:p>
                    <w:pPr>
                      <w:pStyle w:val="Footer"/>
                      <w:rPr>
                        <w:rStyle w:val="PageNumber"/>
                        <w:b/>
                        <w:color w:val="0000FF"/>
                      </w:rPr>
                    </w:pPr>
                    <w:r>
                      <w:rPr>
                        <w:rStyle w:val="PageNumber"/>
                        <w:b/>
                        <w:color w:val="0000FF"/>
                      </w:rPr>
                      <w:fldChar w:fldCharType="begin"/>
                    </w:r>
                    <w:r>
                      <w:rPr>
                        <w:rStyle w:val="PageNumber"/>
                        <w:b/>
                        <w:color w:val="0000FF"/>
                      </w:rPr>
                      <w:instrText xml:space="preserve"> PAGE </w:instrText>
                    </w:r>
                    <w:r>
                      <w:rPr>
                        <w:rStyle w:val="PageNumber"/>
                        <w:b/>
                        <w:color w:val="0000FF"/>
                      </w:rPr>
                      <w:fldChar w:fldCharType="separate"/>
                    </w:r>
                    <w:r>
                      <w:rPr>
                        <w:rStyle w:val="PageNumber"/>
                        <w:b/>
                        <w:color w:val="0000FF"/>
                      </w:rPr>
                      <w:t>10</w:t>
                    </w:r>
                    <w:r>
                      <w:rPr>
                        <w:rStyle w:val="PageNumber"/>
                        <w:b/>
                        <w:color w:val="0000FF"/>
                      </w:rPr>
                      <w:fldChar w:fldCharType="end"/>
                    </w:r>
                  </w:p>
                </w:txbxContent>
              </v:textbox>
              <w10:wrap type="square"/>
            </v:rect>
          </w:pict>
        </mc:Fallback>
      </mc:AlternateContent>
    </w:r>
  </w:p>
  <w:p>
    <w:pPr>
      <w:pStyle w:val="Footer"/>
      <w:ind w:end="360"/>
      <w:rPr>
        <w:rFonts w:ascii="Arial" w:hAnsi="Arial" w:cs="Arial"/>
        <w:i/>
        <w:i/>
        <w:color w:val="0000FF"/>
      </w:rPr>
    </w:pPr>
    <w:r>
      <w:rPr>
        <w:rFonts w:cs="Arial" w:ascii="Arial" w:hAnsi="Arial"/>
        <w:i/>
        <w:color w:val="0000FF"/>
      </w:rPr>
      <w:t>Project Phase: Transition</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mc:AlternateContent>
        <mc:Choice Requires="wps">
          <w:drawing>
            <wp:anchor behindDoc="1" distT="0" distB="0" distL="114935" distR="114935" simplePos="0" locked="0" layoutInCell="1" allowOverlap="1" relativeHeight="39">
              <wp:simplePos x="0" y="0"/>
              <wp:positionH relativeFrom="column">
                <wp:posOffset>-45720</wp:posOffset>
              </wp:positionH>
              <wp:positionV relativeFrom="paragraph">
                <wp:posOffset>274320</wp:posOffset>
              </wp:positionV>
              <wp:extent cx="5577840" cy="0"/>
              <wp:effectExtent l="0" t="14605" r="0" b="14605"/>
              <wp:wrapNone/>
              <wp:docPr id="3" name=""/>
              <a:graphic xmlns:a="http://schemas.openxmlformats.org/drawingml/2006/main">
                <a:graphicData uri="http://schemas.microsoft.com/office/word/2010/wordprocessingShape">
                  <wps:wsp>
                    <wps:cNvSpPr/>
                    <wps:spPr>
                      <a:xfrm>
                        <a:off x="0" y="0"/>
                        <a:ext cx="5577840" cy="0"/>
                      </a:xfrm>
                      <a:prstGeom prst="line">
                        <a:avLst/>
                      </a:prstGeom>
                      <a:ln w="28440">
                        <a:solidFill>
                          <a:srgbClr val="0000ff"/>
                        </a:solidFill>
                        <a:miter/>
                      </a:ln>
                    </wps:spPr>
                    <wps:style>
                      <a:lnRef idx="0"/>
                      <a:fillRef idx="0"/>
                      <a:effectRef idx="0"/>
                      <a:fontRef idx="minor"/>
                    </wps:style>
                    <wps:bodyPr/>
                  </wps:wsp>
                </a:graphicData>
              </a:graphic>
            </wp:anchor>
          </w:drawing>
        </mc:Choice>
        <mc:Fallback>
          <w:pict>
            <v:line id="shape_0" from="-3.6pt,21.6pt" to="435.55pt,21.6pt" stroked="t" o:allowincell="f" style="position:absolute">
              <v:stroke color="blue" weight="28440" joinstyle="miter" endcap="flat"/>
              <v:fill o:detectmouseclick="t" on="false"/>
              <w10:wrap type="none"/>
            </v:line>
          </w:pict>
        </mc:Fallback>
      </mc:AlternateContent>
    </w:r>
    <w:r>
      <mc:AlternateContent>
        <mc:Choice Requires="wps">
          <w:drawing>
            <wp:anchor behindDoc="0" distT="0" distB="0" distL="114300" distR="114300" simplePos="0" locked="0" layoutInCell="0" allowOverlap="1" relativeHeight="21">
              <wp:simplePos x="0" y="0"/>
              <wp:positionH relativeFrom="page">
                <wp:posOffset>6127115</wp:posOffset>
              </wp:positionH>
              <wp:positionV relativeFrom="paragraph">
                <wp:posOffset>-275590</wp:posOffset>
              </wp:positionV>
              <wp:extent cx="455930" cy="455295"/>
              <wp:effectExtent l="0" t="0" r="0" b="0"/>
              <wp:wrapSquare wrapText="bothSides"/>
              <wp:docPr id="4" name="Frame3"/>
              <a:graphic xmlns:a="http://schemas.openxmlformats.org/drawingml/2006/main">
                <a:graphicData uri="http://schemas.microsoft.com/office/word/2010/wordprocessingShape">
                  <wps:wsp>
                    <wps:cNvSpPr txBox="1"/>
                    <wps:spPr>
                      <a:xfrm>
                        <a:off x="0" y="0"/>
                        <a:ext cx="455930" cy="455295"/>
                      </a:xfrm>
                      <a:prstGeom prst="rect"/>
                      <a:solidFill>
                        <a:srgbClr val="FFFFFF">
                          <a:alpha val="0"/>
                        </a:srgbClr>
                      </a:solidFill>
                    </wps:spPr>
                    <wps:txbx>
                      <w:txbxContent>
                        <w:p>
                          <w:pPr>
                            <w:pStyle w:val="Normal"/>
                            <w:rPr/>
                          </w:pPr>
                          <w:r>
                            <w:rPr/>
                            <w:object w:dxaOrig="4816" w:dyaOrig="4817">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35.85pt;height:35.85pt" filled="f" o:ole="">
                                <v:imagedata r:id="rId2" o:title=""/>
                              </v:shape>
                              <o:OLEObject Type="Embed" ProgID="" ShapeID="ole_rId1" DrawAspect="Content" ObjectID="_1297084641" r:id="rId1"/>
                            </w:object>
                          </w:r>
                        </w:p>
                      </w:txbxContent>
                    </wps:txbx>
                    <wps:bodyPr anchor="t" lIns="0" tIns="0" rIns="0" bIns="0">
                      <a:noAutofit/>
                    </wps:bodyPr>
                  </wps:wsp>
                </a:graphicData>
              </a:graphic>
            </wp:anchor>
          </w:drawing>
        </mc:Choice>
        <mc:Fallback>
          <w:pict>
            <v:rect fillcolor="#FFFFFF" style="position:absolute;rotation:-0;width:35.9pt;height:35.85pt;mso-wrap-distance-left:9pt;mso-wrap-distance-right:9pt;mso-wrap-distance-top:0pt;mso-wrap-distance-bottom:0pt;margin-top:-21.7pt;mso-position-vertical-relative:text;margin-left:482.45pt;mso-position-horizontal-relative:page">
              <v:fill opacity="0f"/>
              <v:textbox inset="0in,0in,0in,0in">
                <w:txbxContent>
                  <w:p>
                    <w:pPr>
                      <w:pStyle w:val="Normal"/>
                      <w:rPr/>
                    </w:pPr>
                    <w:r>
                      <w:rPr/>
                      <w:object w:dxaOrig="4816" w:dyaOrig="4817">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85pt;height:35.85pt" filled="f" o:ole="">
                          <v:imagedata r:id="rId4" o:title=""/>
                        </v:shape>
                        <o:OLEObject Type="Embed" ProgID="" ShapeID="ole_rId3" DrawAspect="Content" ObjectID="_273179787" r:id="rId3"/>
                      </w:object>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1170"/>
        </w:tabs>
        <w:ind w:start="117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rPr/>
    </w:lvl>
  </w:abstractNum>
  <w:abstractNum w:abstractNumId="4">
    <w:lvl w:ilvl="0">
      <w:start w:val="1"/>
      <w:numFmt w:val="decimal"/>
      <w:lvlText w:val="%1."/>
      <w:lvlJc w:val="start"/>
      <w:pPr>
        <w:tabs>
          <w:tab w:val="num" w:pos="720"/>
        </w:tabs>
        <w:ind w:start="720"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pageBreakBefore/>
      <w:numPr>
        <w:ilvl w:val="0"/>
        <w:numId w:val="1"/>
      </w:numPr>
      <w:spacing w:before="120" w:after="60"/>
      <w:ind w:hanging="431" w:start="431" w:end="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spacing w:before="120" w:after="60"/>
      <w:ind w:hanging="578" w:start="578" w:end="0"/>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6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i/>
      <w:color w:val="000080"/>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3z0">
    <w:name w:val="WW8Num3z0"/>
    <w:qFormat/>
    <w:rPr>
      <w:rFonts w:ascii="Wingdings" w:hAnsi="Wingdings" w:cs="Wingdings"/>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5z5">
    <w:name w:val="WW8Num5z5"/>
    <w:qFormat/>
    <w:rPr>
      <w:rFonts w:ascii="Wingdings" w:hAnsi="Wingdings" w:cs="Wingdings"/>
    </w:rPr>
  </w:style>
  <w:style w:type="character" w:styleId="WW8Num6z0">
    <w:name w:val="WW8Num6z0"/>
    <w:qFormat/>
    <w:rPr>
      <w:rFonts w:ascii="Symbol" w:hAnsi="Symbol" w:cs="Symbol"/>
      <w:sz w:val="2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sz w:val="20"/>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1z5">
    <w:name w:val="WW8Num11z5"/>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7z0">
    <w:name w:val="WW8Num27z0"/>
    <w:qFormat/>
    <w:rPr>
      <w:rFonts w:ascii="Symbol" w:hAnsi="Symbol" w:cs="Symbol"/>
      <w:sz w:val="20"/>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9z0">
    <w:name w:val="WW8Num29z0"/>
    <w:qFormat/>
    <w:rPr>
      <w:rFonts w:ascii="Symbol" w:hAnsi="Symbol" w:cs="Symbol"/>
      <w:sz w:val="20"/>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29z5">
    <w:name w:val="WW8Num29z5"/>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Symbol" w:hAnsi="Symbol" w:cs="Symbol"/>
      <w:sz w:val="20"/>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b w:val="false"/>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Wingdings" w:hAnsi="Wingdings" w:cs="Wingdings"/>
    </w:rPr>
  </w:style>
  <w:style w:type="character" w:styleId="WW8Num40z0">
    <w:name w:val="WW8Num40z0"/>
    <w:qFormat/>
    <w:rPr>
      <w:rFonts w:ascii="Wingdings" w:hAnsi="Wingdings" w:cs="Wingdings"/>
    </w:rPr>
  </w:style>
  <w:style w:type="character" w:styleId="WW8Num41z0">
    <w:name w:val="WW8Num41z0"/>
    <w:qFormat/>
    <w:rPr>
      <w:rFonts w:ascii="Symbol" w:hAnsi="Symbol" w:cs="Symbol"/>
      <w:sz w:val="20"/>
    </w:rPr>
  </w:style>
  <w:style w:type="character" w:styleId="WW8Num41z1">
    <w:name w:val="WW8Num41z1"/>
    <w:qFormat/>
    <w:rPr>
      <w:rFonts w:ascii="Courier New" w:hAnsi="Courier New" w:cs="Courier New"/>
    </w:rPr>
  </w:style>
  <w:style w:type="character" w:styleId="WW8Num41z2">
    <w:name w:val="WW8Num41z2"/>
    <w:qFormat/>
    <w:rPr>
      <w:rFonts w:ascii="Wingdings" w:hAnsi="Wingdings" w:cs="Wingdings"/>
    </w:rPr>
  </w:style>
  <w:style w:type="character" w:styleId="WW8Num41z3">
    <w:name w:val="WW8Num41z3"/>
    <w:qFormat/>
    <w:rPr>
      <w:rFonts w:ascii="Symbol" w:hAnsi="Symbol" w:cs="Symbol"/>
    </w:rPr>
  </w:style>
  <w:style w:type="character" w:styleId="WW8Num42z0">
    <w:name w:val="WW8Num42z0"/>
    <w:qFormat/>
    <w:rPr>
      <w:rFonts w:ascii="Symbol" w:hAnsi="Symbol" w:cs="Symbol"/>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3z0">
    <w:name w:val="WW8Num43z0"/>
    <w:qFormat/>
    <w:rPr>
      <w:rFonts w:ascii="Wingdings" w:hAnsi="Wingdings" w:cs="Wingdings"/>
    </w:rPr>
  </w:style>
  <w:style w:type="character" w:styleId="WW8Num44z0">
    <w:name w:val="WW8Num44z0"/>
    <w:qFormat/>
    <w:rPr>
      <w:rFonts w:ascii="Courier New" w:hAnsi="Courier New" w:cs="Courier New"/>
    </w:rPr>
  </w:style>
  <w:style w:type="character" w:styleId="WW8Num44z2">
    <w:name w:val="WW8Num44z2"/>
    <w:qFormat/>
    <w:rPr>
      <w:rFonts w:ascii="Wingdings" w:hAnsi="Wingdings" w:cs="Wingdings"/>
    </w:rPr>
  </w:style>
  <w:style w:type="character" w:styleId="WW8Num44z3">
    <w:name w:val="WW8Num44z3"/>
    <w:qFormat/>
    <w:rPr>
      <w:rFonts w:ascii="Symbol" w:hAnsi="Symbol" w:cs="Symbol"/>
    </w:rPr>
  </w:style>
  <w:style w:type="character" w:styleId="WW8Num45z0">
    <w:name w:val="WW8Num45z0"/>
    <w:qFormat/>
    <w:rPr>
      <w:rFonts w:ascii="Wingdings" w:hAnsi="Wingdings" w:cs="Wingdings"/>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7z1">
    <w:name w:val="WW8Num47z1"/>
    <w:qFormat/>
    <w:rPr>
      <w:rFonts w:ascii="Courier New" w:hAnsi="Courier New" w:cs="Courier New"/>
    </w:rPr>
  </w:style>
  <w:style w:type="character" w:styleId="WW8Num47z2">
    <w:name w:val="WW8Num47z2"/>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Wingdings" w:hAnsi="Wingdings" w:cs="Wingdings"/>
    </w:rPr>
  </w:style>
  <w:style w:type="character" w:styleId="WW8Num54z0">
    <w:name w:val="WW8Num54z0"/>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7z0">
    <w:name w:val="WW8Num57z0"/>
    <w:qFormat/>
    <w:rPr>
      <w:rFonts w:ascii="Wingdings" w:hAnsi="Wingdings" w:cs="Wingdings"/>
    </w:rPr>
  </w:style>
  <w:style w:type="character" w:styleId="WW8Num58z0">
    <w:name w:val="WW8Num58z0"/>
    <w:qFormat/>
    <w:rPr>
      <w:rFonts w:ascii="Symbol" w:hAnsi="Symbol" w:cs="Symbol"/>
    </w:rPr>
  </w:style>
  <w:style w:type="character" w:styleId="WW8Num59z0">
    <w:name w:val="WW8Num59z0"/>
    <w:qFormat/>
    <w:rPr>
      <w:rFonts w:ascii="Wingdings" w:hAnsi="Wingdings" w:cs="Wingdings"/>
    </w:rPr>
  </w:style>
  <w:style w:type="character" w:styleId="WW8Num60z0">
    <w:name w:val="WW8Num60z0"/>
    <w:qFormat/>
    <w:rPr>
      <w:rFonts w:ascii="Symbol" w:hAnsi="Symbol" w:cs="Symbol"/>
      <w:sz w:val="20"/>
    </w:rPr>
  </w:style>
  <w:style w:type="character" w:styleId="WW8Num60z1">
    <w:name w:val="WW8Num60z1"/>
    <w:qFormat/>
    <w:rPr>
      <w:rFonts w:ascii="Courier New" w:hAnsi="Courier New" w:cs="Courier New"/>
    </w:rPr>
  </w:style>
  <w:style w:type="character" w:styleId="WW8Num60z2">
    <w:name w:val="WW8Num60z2"/>
    <w:qFormat/>
    <w:rPr>
      <w:rFonts w:ascii="Wingdings" w:hAnsi="Wingdings" w:cs="Wingdings"/>
    </w:rPr>
  </w:style>
  <w:style w:type="character" w:styleId="WW8Num60z3">
    <w:name w:val="WW8Num60z3"/>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Wingdings" w:hAnsi="Wingdings" w:cs="Wingdings"/>
    </w:rPr>
  </w:style>
  <w:style w:type="character" w:styleId="WW8Num63z0">
    <w:name w:val="WW8Num63z0"/>
    <w:qFormat/>
    <w:rPr>
      <w:rFonts w:ascii="Wingdings" w:hAnsi="Wingdings" w:cs="Wingdings"/>
    </w:rPr>
  </w:style>
  <w:style w:type="character" w:styleId="WW8Num64z0">
    <w:name w:val="WW8Num64z0"/>
    <w:qFormat/>
    <w:rPr>
      <w:rFonts w:ascii="Symbol" w:hAnsi="Symbol" w:cs="Symbol"/>
      <w:sz w:val="20"/>
    </w:rPr>
  </w:style>
  <w:style w:type="character" w:styleId="WW8Num64z1">
    <w:name w:val="WW8Num64z1"/>
    <w:qFormat/>
    <w:rPr>
      <w:rFonts w:ascii="Courier New" w:hAnsi="Courier New" w:cs="Courier New"/>
    </w:rPr>
  </w:style>
  <w:style w:type="character" w:styleId="WW8Num64z3">
    <w:name w:val="WW8Num64z3"/>
    <w:qFormat/>
    <w:rPr>
      <w:rFonts w:ascii="Symbol" w:hAnsi="Symbol" w:cs="Symbol"/>
    </w:rPr>
  </w:style>
  <w:style w:type="character" w:styleId="WW8Num64z5">
    <w:name w:val="WW8Num64z5"/>
    <w:qFormat/>
    <w:rPr>
      <w:rFonts w:ascii="Wingdings" w:hAnsi="Wingdings" w:cs="Wingdings"/>
    </w:rPr>
  </w:style>
  <w:style w:type="character" w:styleId="WW8Num65z0">
    <w:name w:val="WW8Num65z0"/>
    <w:qFormat/>
    <w:rPr>
      <w:rFonts w:ascii="Symbol" w:hAnsi="Symbol" w:cs="Symbol"/>
    </w:rPr>
  </w:style>
  <w:style w:type="character" w:styleId="WW8Num66z0">
    <w:name w:val="WW8Num66z0"/>
    <w:qFormat/>
    <w:rPr>
      <w:rFonts w:ascii="Wingdings" w:hAnsi="Wingdings" w:cs="Wingdings"/>
    </w:rPr>
  </w:style>
  <w:style w:type="character" w:styleId="WW8Num67z0">
    <w:name w:val="WW8Num67z0"/>
    <w:qFormat/>
    <w:rPr>
      <w:rFonts w:ascii="Wingdings" w:hAnsi="Wingdings" w:cs="Wingdings"/>
    </w:rPr>
  </w:style>
  <w:style w:type="character" w:styleId="WW8Num69z0">
    <w:name w:val="WW8Num69z0"/>
    <w:qFormat/>
    <w:rPr>
      <w:rFonts w:ascii="Symbol" w:hAnsi="Symbol" w:cs="Symbol"/>
      <w:sz w:val="20"/>
    </w:rPr>
  </w:style>
  <w:style w:type="character" w:styleId="WW8Num69z1">
    <w:name w:val="WW8Num69z1"/>
    <w:qFormat/>
    <w:rPr>
      <w:rFonts w:ascii="Courier New" w:hAnsi="Courier New" w:cs="Courier New"/>
    </w:rPr>
  </w:style>
  <w:style w:type="character" w:styleId="WW8Num69z2">
    <w:name w:val="WW8Num69z2"/>
    <w:qFormat/>
    <w:rPr>
      <w:rFonts w:ascii="Wingdings" w:hAnsi="Wingdings" w:cs="Wingdings"/>
    </w:rPr>
  </w:style>
  <w:style w:type="character" w:styleId="WW8Num69z3">
    <w:name w:val="WW8Num69z3"/>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rPr>
  </w:style>
  <w:style w:type="character" w:styleId="WW8Num72z0">
    <w:name w:val="WW8Num72z0"/>
    <w:qFormat/>
    <w:rPr>
      <w:rFonts w:ascii="Symbol" w:hAnsi="Symbol" w:cs="Symbol"/>
      <w:sz w:val="20"/>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2z3">
    <w:name w:val="WW8Num72z3"/>
    <w:qFormat/>
    <w:rPr>
      <w:rFonts w:ascii="Symbol" w:hAnsi="Symbol" w:cs="Symbol"/>
    </w:rPr>
  </w:style>
  <w:style w:type="character" w:styleId="WW8Num73z0">
    <w:name w:val="WW8Num73z0"/>
    <w:qFormat/>
    <w:rPr>
      <w:rFonts w:ascii="Symbol" w:hAnsi="Symbol" w:cs="Symbol"/>
    </w:rPr>
  </w:style>
  <w:style w:type="character" w:styleId="WW8Num73z1">
    <w:name w:val="WW8Num73z1"/>
    <w:qFormat/>
    <w:rPr>
      <w:rFonts w:ascii="Courier New" w:hAnsi="Courier New" w:cs="Courier New"/>
    </w:rPr>
  </w:style>
  <w:style w:type="character" w:styleId="WW8Num73z2">
    <w:name w:val="WW8Num73z2"/>
    <w:qFormat/>
    <w:rPr>
      <w:rFonts w:ascii="Wingdings" w:hAnsi="Wingdings" w:cs="Wingdings"/>
    </w:rPr>
  </w:style>
  <w:style w:type="character" w:styleId="WW8Num74z0">
    <w:name w:val="WW8Num74z0"/>
    <w:qFormat/>
    <w:rPr>
      <w:rFonts w:ascii="Wingdings" w:hAnsi="Wingdings" w:cs="Wingdings"/>
    </w:rPr>
  </w:style>
  <w:style w:type="character" w:styleId="WW8Num75z0">
    <w:name w:val="WW8Num75z0"/>
    <w:qFormat/>
    <w:rPr>
      <w:rFonts w:ascii="Symbol" w:hAnsi="Symbol" w:cs="Symbol"/>
    </w:rPr>
  </w:style>
  <w:style w:type="character" w:styleId="WW8Num76z0">
    <w:name w:val="WW8Num76z0"/>
    <w:qFormat/>
    <w:rPr>
      <w:rFonts w:ascii="Symbol" w:hAnsi="Symbol" w:cs="Symbol"/>
      <w:sz w:val="20"/>
    </w:rPr>
  </w:style>
  <w:style w:type="character" w:styleId="WW8Num76z1">
    <w:name w:val="WW8Num76z1"/>
    <w:qFormat/>
    <w:rPr>
      <w:rFonts w:ascii="Courier New" w:hAnsi="Courier New" w:cs="Courier New"/>
    </w:rPr>
  </w:style>
  <w:style w:type="character" w:styleId="WW8Num76z2">
    <w:name w:val="WW8Num76z2"/>
    <w:qFormat/>
    <w:rPr>
      <w:rFonts w:ascii="Wingdings" w:hAnsi="Wingdings" w:cs="Wingdings"/>
    </w:rPr>
  </w:style>
  <w:style w:type="character" w:styleId="WW8Num76z3">
    <w:name w:val="WW8Num76z3"/>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sz w:val="20"/>
    </w:rPr>
  </w:style>
  <w:style w:type="character" w:styleId="WW8Num81z1">
    <w:name w:val="WW8Num81z1"/>
    <w:qFormat/>
    <w:rPr>
      <w:rFonts w:ascii="Courier New" w:hAnsi="Courier New" w:cs="Courier New"/>
    </w:rPr>
  </w:style>
  <w:style w:type="character" w:styleId="WW8Num81z2">
    <w:name w:val="WW8Num81z2"/>
    <w:qFormat/>
    <w:rPr>
      <w:rFonts w:ascii="Wingdings" w:hAnsi="Wingdings" w:cs="Wingdings"/>
    </w:rPr>
  </w:style>
  <w:style w:type="character" w:styleId="WW8Num81z3">
    <w:name w:val="WW8Num81z3"/>
    <w:qFormat/>
    <w:rPr>
      <w:rFonts w:ascii="Symbol" w:hAnsi="Symbol" w:cs="Symbol"/>
    </w:rPr>
  </w:style>
  <w:style w:type="character" w:styleId="WW8Num82z0">
    <w:name w:val="WW8Num82z0"/>
    <w:qFormat/>
    <w:rPr>
      <w:rFonts w:ascii="Wingdings" w:hAnsi="Wingdings" w:cs="Wingdings"/>
    </w:rPr>
  </w:style>
  <w:style w:type="character" w:styleId="WW8Num83z0">
    <w:name w:val="WW8Num83z0"/>
    <w:qFormat/>
    <w:rPr>
      <w:rFonts w:ascii="Symbol" w:hAnsi="Symbol" w:cs="Symbol"/>
    </w:rPr>
  </w:style>
  <w:style w:type="character" w:styleId="WW8Num83z1">
    <w:name w:val="WW8Num83z1"/>
    <w:qFormat/>
    <w:rPr>
      <w:rFonts w:ascii="Courier New" w:hAnsi="Courier New" w:cs="Courier New"/>
    </w:rPr>
  </w:style>
  <w:style w:type="character" w:styleId="WW8Num83z2">
    <w:name w:val="WW8Num83z2"/>
    <w:qFormat/>
    <w:rPr>
      <w:rFonts w:ascii="Wingdings" w:hAnsi="Wingdings" w:cs="Wingdings"/>
    </w:rPr>
  </w:style>
  <w:style w:type="character" w:styleId="WW8Num84z0">
    <w:name w:val="WW8Num84z0"/>
    <w:qFormat/>
    <w:rPr>
      <w:rFonts w:ascii="Wingdings" w:hAnsi="Wingdings" w:cs="Wingdings"/>
    </w:rPr>
  </w:style>
  <w:style w:type="character" w:styleId="WW8Num85z0">
    <w:name w:val="WW8Num85z0"/>
    <w:qFormat/>
    <w:rPr>
      <w:rFonts w:ascii="Wingdings" w:hAnsi="Wingdings" w:cs="Wingdings"/>
    </w:rPr>
  </w:style>
  <w:style w:type="character" w:styleId="WW8Num86z0">
    <w:name w:val="WW8Num86z0"/>
    <w:qFormat/>
    <w:rPr>
      <w:rFonts w:ascii="Wingdings" w:hAnsi="Wingdings" w:cs="Wingdings"/>
    </w:rPr>
  </w:style>
  <w:style w:type="character" w:styleId="WW8Num87z0">
    <w:name w:val="WW8Num87z0"/>
    <w:qFormat/>
    <w:rPr>
      <w:rFonts w:ascii="Symbol" w:hAnsi="Symbol" w:cs="Symbol"/>
      <w:sz w:val="20"/>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7z3">
    <w:name w:val="WW8Num87z3"/>
    <w:qFormat/>
    <w:rPr>
      <w:rFonts w:ascii="Symbol" w:hAnsi="Symbol" w:cs="Symbol"/>
    </w:rPr>
  </w:style>
  <w:style w:type="character" w:styleId="WW8Num88z0">
    <w:name w:val="WW8Num88z0"/>
    <w:qFormat/>
    <w:rPr>
      <w:rFonts w:ascii="Symbol" w:hAnsi="Symbol" w:cs="Symbol"/>
    </w:rPr>
  </w:style>
  <w:style w:type="character" w:styleId="WW8Num88z1">
    <w:name w:val="WW8Num88z1"/>
    <w:qFormat/>
    <w:rPr>
      <w:rFonts w:ascii="Courier New" w:hAnsi="Courier New" w:cs="Courier New"/>
    </w:rPr>
  </w:style>
  <w:style w:type="character" w:styleId="WW8Num88z2">
    <w:name w:val="WW8Num88z2"/>
    <w:qFormat/>
    <w:rPr>
      <w:rFonts w:ascii="Wingdings" w:hAnsi="Wingdings" w:cs="Wingdings"/>
    </w:rPr>
  </w:style>
  <w:style w:type="character" w:styleId="WW8Num89z0">
    <w:name w:val="WW8Num89z0"/>
    <w:qFormat/>
    <w:rPr>
      <w:rFonts w:ascii="Wingdings" w:hAnsi="Wingdings" w:cs="Wingdings"/>
    </w:rPr>
  </w:style>
  <w:style w:type="character" w:styleId="WW8Num90z0">
    <w:name w:val="WW8Num90z0"/>
    <w:qFormat/>
    <w:rPr>
      <w:rFonts w:ascii="Symbol" w:hAnsi="Symbol" w:cs="Symbol"/>
    </w:rPr>
  </w:style>
  <w:style w:type="character" w:styleId="WW8Num90z1">
    <w:name w:val="WW8Num90z1"/>
    <w:qFormat/>
    <w:rPr>
      <w:rFonts w:ascii="Courier New" w:hAnsi="Courier New" w:cs="Courier New"/>
    </w:rPr>
  </w:style>
  <w:style w:type="character" w:styleId="WW8Num90z2">
    <w:name w:val="WW8Num90z2"/>
    <w:qFormat/>
    <w:rPr>
      <w:rFonts w:ascii="Wingdings" w:hAnsi="Wingdings" w:cs="Wingdings"/>
    </w:rPr>
  </w:style>
  <w:style w:type="character" w:styleId="WW8Num91z0">
    <w:name w:val="WW8Num91z0"/>
    <w:qFormat/>
    <w:rPr>
      <w:rFonts w:ascii="Symbol" w:hAnsi="Symbol" w:cs="Symbol"/>
    </w:rPr>
  </w:style>
  <w:style w:type="character" w:styleId="WW8Num92z0">
    <w:name w:val="WW8Num92z0"/>
    <w:qFormat/>
    <w:rPr>
      <w:rFonts w:ascii="Courier New" w:hAnsi="Courier New" w:cs="Courier New"/>
    </w:rPr>
  </w:style>
  <w:style w:type="character" w:styleId="WW8Num92z2">
    <w:name w:val="WW8Num92z2"/>
    <w:qFormat/>
    <w:rPr>
      <w:rFonts w:ascii="Wingdings" w:hAnsi="Wingdings" w:cs="Wingdings"/>
    </w:rPr>
  </w:style>
  <w:style w:type="character" w:styleId="WW8Num92z3">
    <w:name w:val="WW8Num92z3"/>
    <w:qFormat/>
    <w:rPr>
      <w:rFonts w:ascii="Symbol" w:hAnsi="Symbol" w:cs="Symbol"/>
    </w:rPr>
  </w:style>
  <w:style w:type="character" w:styleId="WW8Num93z0">
    <w:name w:val="WW8Num93z0"/>
    <w:qFormat/>
    <w:rPr>
      <w:rFonts w:ascii="Wingdings" w:hAnsi="Wingdings" w:cs="Wingdings"/>
    </w:rPr>
  </w:style>
  <w:style w:type="character" w:styleId="WW8Num94z0">
    <w:name w:val="WW8Num94z0"/>
    <w:qFormat/>
    <w:rPr>
      <w:b w:val="false"/>
    </w:rPr>
  </w:style>
  <w:style w:type="character" w:styleId="WW8Num95z0">
    <w:name w:val="WW8Num95z0"/>
    <w:qFormat/>
    <w:rPr>
      <w:rFonts w:ascii="Symbol" w:hAnsi="Symbol" w:cs="Symbol"/>
      <w:sz w:val="20"/>
    </w:rPr>
  </w:style>
  <w:style w:type="character" w:styleId="WW8Num95z1">
    <w:name w:val="WW8Num95z1"/>
    <w:qFormat/>
    <w:rPr>
      <w:rFonts w:ascii="Courier New" w:hAnsi="Courier New" w:cs="Courier New"/>
    </w:rPr>
  </w:style>
  <w:style w:type="character" w:styleId="WW8Num95z2">
    <w:name w:val="WW8Num95z2"/>
    <w:qFormat/>
    <w:rPr>
      <w:rFonts w:ascii="Wingdings" w:hAnsi="Wingdings" w:cs="Wingdings"/>
    </w:rPr>
  </w:style>
  <w:style w:type="character" w:styleId="WW8Num95z3">
    <w:name w:val="WW8Num95z3"/>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7z1">
    <w:name w:val="WW8Num97z1"/>
    <w:qFormat/>
    <w:rPr>
      <w:rFonts w:ascii="Courier New" w:hAnsi="Courier New" w:cs="Courier New"/>
    </w:rPr>
  </w:style>
  <w:style w:type="character" w:styleId="WW8Num97z2">
    <w:name w:val="WW8Num97z2"/>
    <w:qFormat/>
    <w:rPr>
      <w:rFonts w:ascii="Wingdings" w:hAnsi="Wingdings" w:cs="Wingdings"/>
    </w:rPr>
  </w:style>
  <w:style w:type="character" w:styleId="WW8Num98z0">
    <w:name w:val="WW8Num98z0"/>
    <w:qFormat/>
    <w:rPr>
      <w:rFonts w:ascii="Symbol" w:hAnsi="Symbol" w:cs="Symbol"/>
      <w:sz w:val="20"/>
    </w:rPr>
  </w:style>
  <w:style w:type="character" w:styleId="WW8Num98z1">
    <w:name w:val="WW8Num98z1"/>
    <w:qFormat/>
    <w:rPr>
      <w:rFonts w:ascii="Courier New" w:hAnsi="Courier New" w:cs="Courier New"/>
    </w:rPr>
  </w:style>
  <w:style w:type="character" w:styleId="WW8Num98z2">
    <w:name w:val="WW8Num98z2"/>
    <w:qFormat/>
    <w:rPr>
      <w:rFonts w:ascii="Wingdings" w:hAnsi="Wingdings" w:cs="Wingdings"/>
    </w:rPr>
  </w:style>
  <w:style w:type="character" w:styleId="WW8Num98z3">
    <w:name w:val="WW8Num98z3"/>
    <w:qFormat/>
    <w:rPr>
      <w:rFonts w:ascii="Symbol" w:hAnsi="Symbol" w:cs="Symbol"/>
    </w:rPr>
  </w:style>
  <w:style w:type="character" w:styleId="WW8Num99z0">
    <w:name w:val="WW8Num99z0"/>
    <w:qFormat/>
    <w:rPr>
      <w:rFonts w:ascii="Wingdings" w:hAnsi="Wingdings" w:cs="Wingdings"/>
    </w:rPr>
  </w:style>
  <w:style w:type="character" w:styleId="WW8Num100z0">
    <w:name w:val="WW8Num100z0"/>
    <w:qFormat/>
    <w:rPr>
      <w:rFonts w:ascii="Wingdings" w:hAnsi="Wingdings" w:cs="Wingdings"/>
    </w:rPr>
  </w:style>
  <w:style w:type="character" w:styleId="WW8Num101z0">
    <w:name w:val="WW8Num101z0"/>
    <w:qFormat/>
    <w:rPr>
      <w:rFonts w:ascii="Symbol" w:hAnsi="Symbol" w:cs="Symbol"/>
    </w:rPr>
  </w:style>
  <w:style w:type="character" w:styleId="WW8Num101z1">
    <w:name w:val="WW8Num101z1"/>
    <w:qFormat/>
    <w:rPr>
      <w:rFonts w:ascii="Courier New" w:hAnsi="Courier New" w:cs="Courier New"/>
    </w:rPr>
  </w:style>
  <w:style w:type="character" w:styleId="WW8Num101z2">
    <w:name w:val="WW8Num101z2"/>
    <w:qFormat/>
    <w:rPr>
      <w:rFonts w:ascii="Wingdings" w:hAnsi="Wingdings" w:cs="Wingdings"/>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5z0">
    <w:name w:val="WW8Num105z0"/>
    <w:qFormat/>
    <w:rPr/>
  </w:style>
  <w:style w:type="character" w:styleId="WW8Num106z0">
    <w:name w:val="WW8Num106z0"/>
    <w:qFormat/>
    <w:rPr>
      <w:rFonts w:ascii="Wingdings" w:hAnsi="Wingdings" w:cs="Wingdings"/>
    </w:rPr>
  </w:style>
  <w:style w:type="character" w:styleId="WW8Num107z0">
    <w:name w:val="WW8Num107z0"/>
    <w:qFormat/>
    <w:rPr>
      <w:rFonts w:ascii="Symbol" w:hAnsi="Symbol" w:cs="Symbol"/>
    </w:rPr>
  </w:style>
  <w:style w:type="character" w:styleId="WW8Num108z0">
    <w:name w:val="WW8Num108z0"/>
    <w:qFormat/>
    <w:rPr>
      <w:rFonts w:ascii="Courier New" w:hAnsi="Courier New" w:cs="Courier New"/>
    </w:rPr>
  </w:style>
  <w:style w:type="character" w:styleId="WW8Num108z2">
    <w:name w:val="WW8Num108z2"/>
    <w:qFormat/>
    <w:rPr>
      <w:rFonts w:ascii="Wingdings" w:hAnsi="Wingdings" w:cs="Wingdings"/>
    </w:rPr>
  </w:style>
  <w:style w:type="character" w:styleId="WW8Num108z3">
    <w:name w:val="WW8Num108z3"/>
    <w:qFormat/>
    <w:rPr>
      <w:rFonts w:ascii="Symbol" w:hAnsi="Symbol" w:cs="Symbol"/>
    </w:rPr>
  </w:style>
  <w:style w:type="character" w:styleId="WW8Num109z0">
    <w:name w:val="WW8Num109z0"/>
    <w:qFormat/>
    <w:rPr>
      <w:rFonts w:ascii="Wingdings" w:hAnsi="Wingdings" w:cs="Wingdings"/>
    </w:rPr>
  </w:style>
  <w:style w:type="character" w:styleId="WW8Num110z0">
    <w:name w:val="WW8Num110z0"/>
    <w:qFormat/>
    <w:rPr>
      <w:rFonts w:ascii="Wingdings" w:hAnsi="Wingdings" w:cs="Wingdings"/>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2z1">
    <w:name w:val="WW8Num112z1"/>
    <w:qFormat/>
    <w:rPr>
      <w:rFonts w:ascii="Courier New" w:hAnsi="Courier New" w:cs="Courier New"/>
    </w:rPr>
  </w:style>
  <w:style w:type="character" w:styleId="WW8Num112z2">
    <w:name w:val="WW8Num112z2"/>
    <w:qFormat/>
    <w:rPr>
      <w:rFonts w:ascii="Wingdings" w:hAnsi="Wingdings" w:cs="Wingdings"/>
    </w:rPr>
  </w:style>
  <w:style w:type="character" w:styleId="WW8Num113z0">
    <w:name w:val="WW8Num113z0"/>
    <w:qFormat/>
    <w:rPr>
      <w:rFonts w:ascii="Symbol" w:hAnsi="Symbol" w:cs="Symbol"/>
      <w:sz w:val="20"/>
    </w:rPr>
  </w:style>
  <w:style w:type="character" w:styleId="WW8Num113z1">
    <w:name w:val="WW8Num113z1"/>
    <w:qFormat/>
    <w:rPr>
      <w:rFonts w:ascii="Courier New" w:hAnsi="Courier New" w:cs="Courier New"/>
    </w:rPr>
  </w:style>
  <w:style w:type="character" w:styleId="WW8Num113z2">
    <w:name w:val="WW8Num113z2"/>
    <w:qFormat/>
    <w:rPr>
      <w:rFonts w:ascii="Wingdings" w:hAnsi="Wingdings" w:cs="Wingdings"/>
    </w:rPr>
  </w:style>
  <w:style w:type="character" w:styleId="WW8Num113z3">
    <w:name w:val="WW8Num113z3"/>
    <w:qFormat/>
    <w:rPr>
      <w:rFonts w:ascii="Symbol" w:hAnsi="Symbol" w:cs="Symbol"/>
    </w:rPr>
  </w:style>
  <w:style w:type="character" w:styleId="WW8Num114z0">
    <w:name w:val="WW8Num114z0"/>
    <w:qFormat/>
    <w:rPr>
      <w:rFonts w:ascii="Symbol" w:hAnsi="Symbol" w:cs="Symbol"/>
    </w:rPr>
  </w:style>
  <w:style w:type="character" w:styleId="WW8Num114z1">
    <w:name w:val="WW8Num114z1"/>
    <w:qFormat/>
    <w:rPr>
      <w:rFonts w:ascii="Courier New" w:hAnsi="Courier New" w:cs="Courier New"/>
    </w:rPr>
  </w:style>
  <w:style w:type="character" w:styleId="WW8Num114z2">
    <w:name w:val="WW8Num114z2"/>
    <w:qFormat/>
    <w:rPr>
      <w:rFonts w:ascii="Wingdings" w:hAnsi="Wingdings" w:cs="Wingdings"/>
    </w:rPr>
  </w:style>
  <w:style w:type="character" w:styleId="WW8Num115z0">
    <w:name w:val="WW8Num115z0"/>
    <w:qFormat/>
    <w:rPr>
      <w:rFonts w:ascii="Symbol" w:hAnsi="Symbol" w:cs="Symbol"/>
    </w:rPr>
  </w:style>
  <w:style w:type="character" w:styleId="WW8Num117z0">
    <w:name w:val="WW8Num117z0"/>
    <w:qFormat/>
    <w:rPr>
      <w:rFonts w:ascii="Wingdings" w:hAnsi="Wingdings" w:cs="Wingdings"/>
    </w:rPr>
  </w:style>
  <w:style w:type="character" w:styleId="WW8Num118z0">
    <w:name w:val="WW8Num118z0"/>
    <w:qFormat/>
    <w:rPr>
      <w:rFonts w:ascii="Wingdings" w:hAnsi="Wingdings" w:cs="Wingdings"/>
    </w:rPr>
  </w:style>
  <w:style w:type="character" w:styleId="WW8Num120z0">
    <w:name w:val="WW8Num120z0"/>
    <w:qFormat/>
    <w:rPr>
      <w:rFonts w:ascii="Symbol" w:hAnsi="Symbol" w:cs="Symbol"/>
      <w:sz w:val="20"/>
    </w:rPr>
  </w:style>
  <w:style w:type="character" w:styleId="WW8Num120z1">
    <w:name w:val="WW8Num120z1"/>
    <w:qFormat/>
    <w:rPr>
      <w:rFonts w:ascii="Courier New" w:hAnsi="Courier New" w:cs="Courier New"/>
    </w:rPr>
  </w:style>
  <w:style w:type="character" w:styleId="WW8Num120z2">
    <w:name w:val="WW8Num120z2"/>
    <w:qFormat/>
    <w:rPr>
      <w:rFonts w:ascii="Wingdings" w:hAnsi="Wingdings" w:cs="Wingdings"/>
    </w:rPr>
  </w:style>
  <w:style w:type="character" w:styleId="WW8Num120z3">
    <w:name w:val="WW8Num120z3"/>
    <w:qFormat/>
    <w:rPr>
      <w:rFonts w:ascii="Symbol" w:hAnsi="Symbol" w:cs="Symbol"/>
    </w:rPr>
  </w:style>
  <w:style w:type="character" w:styleId="WW8Num121z0">
    <w:name w:val="WW8Num121z0"/>
    <w:qFormat/>
    <w:rPr>
      <w:rFonts w:ascii="Wingdings" w:hAnsi="Wingdings" w:cs="Wingdings"/>
    </w:rPr>
  </w:style>
  <w:style w:type="character" w:styleId="WW8Num122z0">
    <w:name w:val="WW8Num122z0"/>
    <w:qFormat/>
    <w:rPr>
      <w:rFonts w:ascii="Symbol" w:hAnsi="Symbol" w:cs="Symbol"/>
    </w:rPr>
  </w:style>
  <w:style w:type="character" w:styleId="WW8Num123z0">
    <w:name w:val="WW8Num123z0"/>
    <w:qFormat/>
    <w:rPr>
      <w:rFonts w:ascii="Symbol" w:hAnsi="Symbol" w:cs="Symbol"/>
      <w:sz w:val="20"/>
    </w:rPr>
  </w:style>
  <w:style w:type="character" w:styleId="WW8Num123z1">
    <w:name w:val="WW8Num123z1"/>
    <w:qFormat/>
    <w:rPr>
      <w:rFonts w:ascii="Courier New" w:hAnsi="Courier New" w:cs="Courier New"/>
    </w:rPr>
  </w:style>
  <w:style w:type="character" w:styleId="WW8Num123z2">
    <w:name w:val="WW8Num123z2"/>
    <w:qFormat/>
    <w:rPr>
      <w:rFonts w:ascii="Wingdings" w:hAnsi="Wingdings" w:cs="Wingdings"/>
    </w:rPr>
  </w:style>
  <w:style w:type="character" w:styleId="WW8Num123z3">
    <w:name w:val="WW8Num123z3"/>
    <w:qFormat/>
    <w:rPr>
      <w:rFonts w:ascii="Symbol" w:hAnsi="Symbol" w:cs="Symbol"/>
    </w:rPr>
  </w:style>
  <w:style w:type="character" w:styleId="WW8Num124z0">
    <w:name w:val="WW8Num124z0"/>
    <w:qFormat/>
    <w:rPr/>
  </w:style>
  <w:style w:type="character" w:styleId="WW8Num125z0">
    <w:name w:val="WW8Num125z0"/>
    <w:qFormat/>
    <w:rPr>
      <w:rFonts w:ascii="Symbol" w:hAnsi="Symbol" w:cs="Symbol"/>
    </w:rPr>
  </w:style>
  <w:style w:type="character" w:styleId="WW8Num127z0">
    <w:name w:val="WW8Num127z0"/>
    <w:qFormat/>
    <w:rPr>
      <w:rFonts w:ascii="Symbol" w:hAnsi="Symbol" w:cs="Symbol"/>
      <w:sz w:val="20"/>
    </w:rPr>
  </w:style>
  <w:style w:type="character" w:styleId="WW8Num127z1">
    <w:name w:val="WW8Num127z1"/>
    <w:qFormat/>
    <w:rPr>
      <w:rFonts w:ascii="Courier New" w:hAnsi="Courier New" w:cs="Courier New"/>
    </w:rPr>
  </w:style>
  <w:style w:type="character" w:styleId="WW8Num127z2">
    <w:name w:val="WW8Num127z2"/>
    <w:qFormat/>
    <w:rPr>
      <w:rFonts w:ascii="Wingdings" w:hAnsi="Wingdings" w:cs="Wingdings"/>
    </w:rPr>
  </w:style>
  <w:style w:type="character" w:styleId="WW8Num127z3">
    <w:name w:val="WW8Num127z3"/>
    <w:qFormat/>
    <w:rPr>
      <w:rFonts w:ascii="Symbol" w:hAnsi="Symbol" w:cs="Symbol"/>
    </w:rPr>
  </w:style>
  <w:style w:type="character" w:styleId="WW8Num128z0">
    <w:name w:val="WW8Num128z0"/>
    <w:qFormat/>
    <w:rPr>
      <w:rFonts w:ascii="Wingdings" w:hAnsi="Wingdings" w:cs="Wingdings"/>
    </w:rPr>
  </w:style>
  <w:style w:type="character" w:styleId="WW8Num129z0">
    <w:name w:val="WW8Num129z0"/>
    <w:qFormat/>
    <w:rPr>
      <w:rFonts w:ascii="Wingdings" w:hAnsi="Wingdings" w:cs="Wingdings"/>
    </w:rPr>
  </w:style>
  <w:style w:type="character" w:styleId="WW8Num130z0">
    <w:name w:val="WW8Num130z0"/>
    <w:qFormat/>
    <w:rPr>
      <w:rFonts w:ascii="Symbol" w:hAnsi="Symbol" w:cs="Symbol"/>
      <w:sz w:val="20"/>
    </w:rPr>
  </w:style>
  <w:style w:type="character" w:styleId="WW8Num130z1">
    <w:name w:val="WW8Num130z1"/>
    <w:qFormat/>
    <w:rPr>
      <w:rFonts w:ascii="Courier New" w:hAnsi="Courier New" w:cs="Courier New"/>
    </w:rPr>
  </w:style>
  <w:style w:type="character" w:styleId="WW8Num130z2">
    <w:name w:val="WW8Num130z2"/>
    <w:qFormat/>
    <w:rPr>
      <w:rFonts w:ascii="Wingdings" w:hAnsi="Wingdings" w:cs="Wingdings"/>
    </w:rPr>
  </w:style>
  <w:style w:type="character" w:styleId="WW8Num130z6">
    <w:name w:val="WW8Num130z6"/>
    <w:qFormat/>
    <w:rPr>
      <w:rFonts w:ascii="Symbol" w:hAnsi="Symbol" w:cs="Symbol"/>
    </w:rPr>
  </w:style>
  <w:style w:type="character" w:styleId="WW8Num131z0">
    <w:name w:val="WW8Num131z0"/>
    <w:qFormat/>
    <w:rPr>
      <w:rFonts w:ascii="Symbol" w:hAnsi="Symbol" w:cs="Symbol"/>
      <w:sz w:val="20"/>
    </w:rPr>
  </w:style>
  <w:style w:type="character" w:styleId="WW8Num131z1">
    <w:name w:val="WW8Num131z1"/>
    <w:qFormat/>
    <w:rPr>
      <w:rFonts w:ascii="Courier New" w:hAnsi="Courier New" w:cs="Courier New"/>
    </w:rPr>
  </w:style>
  <w:style w:type="character" w:styleId="WW8Num131z2">
    <w:name w:val="WW8Num131z2"/>
    <w:qFormat/>
    <w:rPr>
      <w:rFonts w:ascii="Wingdings" w:hAnsi="Wingdings" w:cs="Wingdings"/>
    </w:rPr>
  </w:style>
  <w:style w:type="character" w:styleId="WW8Num131z3">
    <w:name w:val="WW8Num131z3"/>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Courier New" w:hAnsi="Courier New" w:cs="Courier New"/>
    </w:rPr>
  </w:style>
  <w:style w:type="character" w:styleId="WW8Num134z2">
    <w:name w:val="WW8Num134z2"/>
    <w:qFormat/>
    <w:rPr>
      <w:rFonts w:ascii="Wingdings" w:hAnsi="Wingdings" w:cs="Wingdings"/>
    </w:rPr>
  </w:style>
  <w:style w:type="character" w:styleId="WW8Num134z3">
    <w:name w:val="WW8Num134z3"/>
    <w:qFormat/>
    <w:rPr>
      <w:rFonts w:ascii="Symbol" w:hAnsi="Symbol" w:cs="Symbol"/>
    </w:rPr>
  </w:style>
  <w:style w:type="character" w:styleId="WW8Num135z0">
    <w:name w:val="WW8Num135z0"/>
    <w:qFormat/>
    <w:rPr>
      <w:rFonts w:ascii="Wingdings" w:hAnsi="Wingdings" w:cs="Wingdings"/>
    </w:rPr>
  </w:style>
  <w:style w:type="character" w:styleId="WW8Num136z0">
    <w:name w:val="WW8Num136z0"/>
    <w:qFormat/>
    <w:rPr>
      <w:rFonts w:ascii="Symbol" w:hAnsi="Symbol" w:cs="Symbol"/>
      <w:sz w:val="20"/>
    </w:rPr>
  </w:style>
  <w:style w:type="character" w:styleId="WW8Num136z1">
    <w:name w:val="WW8Num136z1"/>
    <w:qFormat/>
    <w:rPr>
      <w:rFonts w:ascii="Courier New" w:hAnsi="Courier New" w:cs="Courier New"/>
    </w:rPr>
  </w:style>
  <w:style w:type="character" w:styleId="WW8Num136z2">
    <w:name w:val="WW8Num136z2"/>
    <w:qFormat/>
    <w:rPr>
      <w:rFonts w:ascii="Wingdings" w:hAnsi="Wingdings" w:cs="Wingdings"/>
    </w:rPr>
  </w:style>
  <w:style w:type="character" w:styleId="WW8Num136z3">
    <w:name w:val="WW8Num136z3"/>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Wingdings" w:hAnsi="Wingdings" w:cs="Wingdings"/>
    </w:rPr>
  </w:style>
  <w:style w:type="character" w:styleId="WW8Num139z0">
    <w:name w:val="WW8Num139z0"/>
    <w:qFormat/>
    <w:rPr>
      <w:rFonts w:ascii="Symbol" w:hAnsi="Symbol" w:cs="Symbol"/>
      <w:sz w:val="20"/>
    </w:rPr>
  </w:style>
  <w:style w:type="character" w:styleId="WW8Num139z1">
    <w:name w:val="WW8Num139z1"/>
    <w:qFormat/>
    <w:rPr>
      <w:rFonts w:ascii="Courier New" w:hAnsi="Courier New" w:cs="Courier New"/>
    </w:rPr>
  </w:style>
  <w:style w:type="character" w:styleId="WW8Num139z2">
    <w:name w:val="WW8Num139z2"/>
    <w:qFormat/>
    <w:rPr>
      <w:rFonts w:ascii="Wingdings" w:hAnsi="Wingdings" w:cs="Wingdings"/>
    </w:rPr>
  </w:style>
  <w:style w:type="character" w:styleId="WW8Num139z3">
    <w:name w:val="WW8Num139z3"/>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style>
  <w:style w:type="character" w:styleId="WW8Num142z0">
    <w:name w:val="WW8Num142z0"/>
    <w:qFormat/>
    <w:rPr>
      <w:rFonts w:ascii="Wingdings" w:hAnsi="Wingdings" w:cs="Wingdings"/>
    </w:rPr>
  </w:style>
  <w:style w:type="character" w:styleId="WW8Num143z0">
    <w:name w:val="WW8Num143z0"/>
    <w:qFormat/>
    <w:rPr>
      <w:rFonts w:ascii="Symbol" w:hAnsi="Symbol" w:cs="Symbol"/>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4z0">
    <w:name w:val="WW8Num144z0"/>
    <w:qFormat/>
    <w:rPr>
      <w:rFonts w:ascii="Symbol" w:hAnsi="Symbol" w:cs="Symbol"/>
    </w:rPr>
  </w:style>
  <w:style w:type="character" w:styleId="WW8Num144z1">
    <w:name w:val="WW8Num144z1"/>
    <w:qFormat/>
    <w:rPr>
      <w:rFonts w:ascii="Courier New" w:hAnsi="Courier New" w:cs="Courier New"/>
    </w:rPr>
  </w:style>
  <w:style w:type="character" w:styleId="WW8Num144z2">
    <w:name w:val="WW8Num144z2"/>
    <w:qFormat/>
    <w:rPr>
      <w:rFonts w:ascii="Wingdings" w:hAnsi="Wingdings" w:cs="Wingdings"/>
    </w:rPr>
  </w:style>
  <w:style w:type="character" w:styleId="WW8Num145z0">
    <w:name w:val="WW8Num145z0"/>
    <w:qFormat/>
    <w:rPr>
      <w:rFonts w:ascii="Symbol" w:hAnsi="Symbol" w:cs="Symbol"/>
    </w:rPr>
  </w:style>
  <w:style w:type="character" w:styleId="WW8Num147z0">
    <w:name w:val="WW8Num147z0"/>
    <w:qFormat/>
    <w:rPr>
      <w:rFonts w:ascii="Wingdings" w:hAnsi="Wingdings" w:cs="Wingdings"/>
    </w:rPr>
  </w:style>
  <w:style w:type="character" w:styleId="WW8Num148z0">
    <w:name w:val="WW8Num148z0"/>
    <w:qFormat/>
    <w:rPr>
      <w:rFonts w:ascii="Symbol" w:hAnsi="Symbol" w:cs="Symbol"/>
      <w:sz w:val="20"/>
    </w:rPr>
  </w:style>
  <w:style w:type="character" w:styleId="WW8Num148z1">
    <w:name w:val="WW8Num148z1"/>
    <w:qFormat/>
    <w:rPr>
      <w:rFonts w:ascii="Courier New" w:hAnsi="Courier New" w:cs="Courier New"/>
    </w:rPr>
  </w:style>
  <w:style w:type="character" w:styleId="WW8Num148z2">
    <w:name w:val="WW8Num148z2"/>
    <w:qFormat/>
    <w:rPr>
      <w:rFonts w:ascii="Wingdings" w:hAnsi="Wingdings" w:cs="Wingdings"/>
    </w:rPr>
  </w:style>
  <w:style w:type="character" w:styleId="WW8Num148z3">
    <w:name w:val="WW8Num148z3"/>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rFonts w:ascii="Symbol" w:hAnsi="Symbol" w:cs="Symbol"/>
    </w:rPr>
  </w:style>
  <w:style w:type="character" w:styleId="WW8Num152z0">
    <w:name w:val="WW8Num152z0"/>
    <w:qFormat/>
    <w:rPr>
      <w:rFonts w:ascii="Symbol" w:hAnsi="Symbol" w:cs="Symbol"/>
      <w:sz w:val="20"/>
    </w:rPr>
  </w:style>
  <w:style w:type="character" w:styleId="WW8Num152z1">
    <w:name w:val="WW8Num152z1"/>
    <w:qFormat/>
    <w:rPr>
      <w:rFonts w:ascii="Courier New" w:hAnsi="Courier New" w:cs="Courier New"/>
    </w:rPr>
  </w:style>
  <w:style w:type="character" w:styleId="WW8Num152z2">
    <w:name w:val="WW8Num152z2"/>
    <w:qFormat/>
    <w:rPr>
      <w:rFonts w:ascii="Wingdings" w:hAnsi="Wingdings" w:cs="Wingdings"/>
    </w:rPr>
  </w:style>
  <w:style w:type="character" w:styleId="WW8Num152z6">
    <w:name w:val="WW8Num152z6"/>
    <w:qFormat/>
    <w:rPr>
      <w:rFonts w:ascii="Symbol" w:hAnsi="Symbol" w:cs="Symbol"/>
    </w:rPr>
  </w:style>
  <w:style w:type="character" w:styleId="WW8Num154z0">
    <w:name w:val="WW8Num154z0"/>
    <w:qFormat/>
    <w:rPr/>
  </w:style>
  <w:style w:type="character" w:styleId="WW8Num155z0">
    <w:name w:val="WW8Num155z0"/>
    <w:qFormat/>
    <w:rPr>
      <w:rFonts w:ascii="Wingdings" w:hAnsi="Wingdings" w:cs="Wingdings"/>
    </w:rPr>
  </w:style>
  <w:style w:type="character" w:styleId="WW8Num156z0">
    <w:name w:val="WW8Num156z0"/>
    <w:qFormat/>
    <w:rPr>
      <w:rFonts w:ascii="Symbol" w:hAnsi="Symbol" w:cs="Symbol"/>
    </w:rPr>
  </w:style>
  <w:style w:type="character" w:styleId="WW8Num157z0">
    <w:name w:val="WW8Num157z0"/>
    <w:qFormat/>
    <w:rPr>
      <w:rFonts w:ascii="Symbol" w:hAnsi="Symbol" w:cs="Symbol"/>
      <w:sz w:val="20"/>
    </w:rPr>
  </w:style>
  <w:style w:type="character" w:styleId="WW8Num157z1">
    <w:name w:val="WW8Num157z1"/>
    <w:qFormat/>
    <w:rPr>
      <w:rFonts w:ascii="Courier New" w:hAnsi="Courier New" w:cs="Courier New"/>
    </w:rPr>
  </w:style>
  <w:style w:type="character" w:styleId="WW8Num157z2">
    <w:name w:val="WW8Num157z2"/>
    <w:qFormat/>
    <w:rPr>
      <w:rFonts w:ascii="Wingdings" w:hAnsi="Wingdings" w:cs="Wingdings"/>
    </w:rPr>
  </w:style>
  <w:style w:type="character" w:styleId="WW8Num157z3">
    <w:name w:val="WW8Num157z3"/>
    <w:qFormat/>
    <w:rPr>
      <w:rFonts w:ascii="Symbol" w:hAnsi="Symbol" w:cs="Symbol"/>
    </w:rPr>
  </w:style>
  <w:style w:type="character" w:styleId="WW8Num158z0">
    <w:name w:val="WW8Num158z0"/>
    <w:qFormat/>
    <w:rPr>
      <w:rFonts w:ascii="Symbol" w:hAnsi="Symbol" w:cs="Symbol"/>
      <w:sz w:val="20"/>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58z3">
    <w:name w:val="WW8Num158z3"/>
    <w:qFormat/>
    <w:rPr>
      <w:rFonts w:ascii="Symbol" w:hAnsi="Symbol" w:cs="Symbol"/>
    </w:rPr>
  </w:style>
  <w:style w:type="character" w:styleId="WW8Num159z0">
    <w:name w:val="WW8Num159z0"/>
    <w:qFormat/>
    <w:rPr>
      <w:rFonts w:ascii="Wingdings" w:hAnsi="Wingdings" w:cs="Wingdings"/>
    </w:rPr>
  </w:style>
  <w:style w:type="character" w:styleId="WW8Num160z0">
    <w:name w:val="WW8Num160z0"/>
    <w:qFormat/>
    <w:rPr>
      <w:rFonts w:ascii="Symbol" w:hAnsi="Symbol" w:cs="Symbol"/>
    </w:rPr>
  </w:style>
  <w:style w:type="character" w:styleId="WW8Num160z1">
    <w:name w:val="WW8Num160z1"/>
    <w:qFormat/>
    <w:rPr>
      <w:rFonts w:ascii="Courier New" w:hAnsi="Courier New" w:cs="Courier New"/>
    </w:rPr>
  </w:style>
  <w:style w:type="character" w:styleId="WW8Num160z2">
    <w:name w:val="WW8Num160z2"/>
    <w:qFormat/>
    <w:rPr>
      <w:rFonts w:ascii="Wingdings" w:hAnsi="Wingdings" w:cs="Wingdings"/>
    </w:rPr>
  </w:style>
  <w:style w:type="character" w:styleId="WW8Num161z0">
    <w:name w:val="WW8Num161z0"/>
    <w:qFormat/>
    <w:rPr>
      <w:rFonts w:ascii="Symbol" w:hAnsi="Symbol" w:cs="Symbol"/>
    </w:rPr>
  </w:style>
  <w:style w:type="character" w:styleId="WW8Num162z0">
    <w:name w:val="WW8Num162z0"/>
    <w:qFormat/>
    <w:rPr>
      <w:rFonts w:ascii="Wingdings" w:hAnsi="Wingdings" w:cs="Wingdings"/>
    </w:rPr>
  </w:style>
  <w:style w:type="character" w:styleId="WW8Num163z0">
    <w:name w:val="WW8Num163z0"/>
    <w:qFormat/>
    <w:rPr>
      <w:rFonts w:ascii="Symbol" w:hAnsi="Symbol" w:cs="Symbol"/>
      <w:sz w:val="20"/>
    </w:rPr>
  </w:style>
  <w:style w:type="character" w:styleId="WW8Num163z1">
    <w:name w:val="WW8Num163z1"/>
    <w:qFormat/>
    <w:rPr>
      <w:rFonts w:ascii="Courier New" w:hAnsi="Courier New" w:cs="Courier New"/>
    </w:rPr>
  </w:style>
  <w:style w:type="character" w:styleId="WW8Num163z2">
    <w:name w:val="WW8Num163z2"/>
    <w:qFormat/>
    <w:rPr>
      <w:rFonts w:ascii="Wingdings" w:hAnsi="Wingdings" w:cs="Wingdings"/>
    </w:rPr>
  </w:style>
  <w:style w:type="character" w:styleId="WW8Num163z3">
    <w:name w:val="WW8Num163z3"/>
    <w:qFormat/>
    <w:rPr>
      <w:rFonts w:ascii="Symbol" w:hAnsi="Symbol" w:cs="Symbol"/>
    </w:rPr>
  </w:style>
  <w:style w:type="character" w:styleId="WW8Num164z0">
    <w:name w:val="WW8Num164z0"/>
    <w:qFormat/>
    <w:rPr>
      <w:rFonts w:ascii="Wingdings" w:hAnsi="Wingdings" w:cs="Wingdings"/>
    </w:rPr>
  </w:style>
  <w:style w:type="character" w:styleId="WW8Num165z0">
    <w:name w:val="WW8Num165z0"/>
    <w:qFormat/>
    <w:rPr>
      <w:rFonts w:ascii="Courier New" w:hAnsi="Courier New" w:cs="Courier New"/>
    </w:rPr>
  </w:style>
  <w:style w:type="character" w:styleId="WW8Num165z2">
    <w:name w:val="WW8Num165z2"/>
    <w:qFormat/>
    <w:rPr>
      <w:rFonts w:ascii="Wingdings" w:hAnsi="Wingdings" w:cs="Wingdings"/>
    </w:rPr>
  </w:style>
  <w:style w:type="character" w:styleId="WW8Num165z3">
    <w:name w:val="WW8Num165z3"/>
    <w:qFormat/>
    <w:rPr>
      <w:rFonts w:ascii="Symbol" w:hAnsi="Symbol" w:cs="Symbol"/>
    </w:rPr>
  </w:style>
  <w:style w:type="character" w:styleId="WW8Num167z0">
    <w:name w:val="WW8Num167z0"/>
    <w:qFormat/>
    <w:rPr>
      <w:rFonts w:ascii="Symbol" w:hAnsi="Symbol" w:cs="Symbol"/>
      <w:sz w:val="20"/>
    </w:rPr>
  </w:style>
  <w:style w:type="character" w:styleId="WW8Num167z1">
    <w:name w:val="WW8Num167z1"/>
    <w:qFormat/>
    <w:rPr>
      <w:rFonts w:ascii="Courier New" w:hAnsi="Courier New" w:cs="Courier New"/>
    </w:rPr>
  </w:style>
  <w:style w:type="character" w:styleId="WW8Num167z2">
    <w:name w:val="WW8Num167z2"/>
    <w:qFormat/>
    <w:rPr>
      <w:rFonts w:ascii="Wingdings" w:hAnsi="Wingdings" w:cs="Wingdings"/>
    </w:rPr>
  </w:style>
  <w:style w:type="character" w:styleId="WW8Num167z6">
    <w:name w:val="WW8Num167z6"/>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1z0">
    <w:name w:val="WW8Num171z0"/>
    <w:qFormat/>
    <w:rPr>
      <w:rFonts w:ascii="Wingdings" w:hAnsi="Wingdings" w:cs="Wingdings"/>
    </w:rPr>
  </w:style>
  <w:style w:type="character" w:styleId="WW8Num172z0">
    <w:name w:val="WW8Num172z0"/>
    <w:qFormat/>
    <w:rPr>
      <w:rFonts w:ascii="Symbol" w:hAnsi="Symbol" w:cs="Symbol"/>
    </w:rPr>
  </w:style>
  <w:style w:type="character" w:styleId="WW8Num173z0">
    <w:name w:val="WW8Num173z0"/>
    <w:qFormat/>
    <w:rPr>
      <w:rFonts w:ascii="Symbol" w:hAnsi="Symbol" w:cs="Symbol"/>
      <w:sz w:val="20"/>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3z3">
    <w:name w:val="WW8Num173z3"/>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b w:val="false"/>
    </w:rPr>
  </w:style>
  <w:style w:type="character" w:styleId="WW8Num176z0">
    <w:name w:val="WW8Num176z0"/>
    <w:qFormat/>
    <w:rPr>
      <w:rFonts w:ascii="Courier New" w:hAnsi="Courier New" w:cs="Courier New"/>
    </w:rPr>
  </w:style>
  <w:style w:type="character" w:styleId="WW8Num176z2">
    <w:name w:val="WW8Num176z2"/>
    <w:qFormat/>
    <w:rPr>
      <w:rFonts w:ascii="Wingdings" w:hAnsi="Wingdings" w:cs="Wingdings"/>
    </w:rPr>
  </w:style>
  <w:style w:type="character" w:styleId="WW8Num176z3">
    <w:name w:val="WW8Num176z3"/>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Wingdings" w:hAnsi="Wingdings" w:cs="Wingdings"/>
    </w:rPr>
  </w:style>
  <w:style w:type="character" w:styleId="WW8Num180z0">
    <w:name w:val="WW8Num180z0"/>
    <w:qFormat/>
    <w:rPr>
      <w:rFonts w:ascii="Symbol" w:hAnsi="Symbol" w:cs="Symbol"/>
    </w:rPr>
  </w:style>
  <w:style w:type="character" w:styleId="WW8Num181z0">
    <w:name w:val="WW8Num181z0"/>
    <w:qFormat/>
    <w:rPr>
      <w:rFonts w:ascii="Wingdings" w:hAnsi="Wingdings" w:cs="Wingdings"/>
    </w:rPr>
  </w:style>
  <w:style w:type="character" w:styleId="WW8Num182z0">
    <w:name w:val="WW8Num182z0"/>
    <w:qFormat/>
    <w:rPr>
      <w:rFonts w:ascii="Wingdings" w:hAnsi="Wingdings" w:cs="Wingdings"/>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5z1">
    <w:name w:val="WW8Num185z1"/>
    <w:qFormat/>
    <w:rPr>
      <w:rFonts w:ascii="Courier New" w:hAnsi="Courier New" w:cs="Courier New"/>
    </w:rPr>
  </w:style>
  <w:style w:type="character" w:styleId="WW8Num185z2">
    <w:name w:val="WW8Num185z2"/>
    <w:qFormat/>
    <w:rPr>
      <w:rFonts w:ascii="Wingdings" w:hAnsi="Wingdings" w:cs="Wingdings"/>
    </w:rPr>
  </w:style>
  <w:style w:type="character" w:styleId="WW8Num186z0">
    <w:name w:val="WW8Num186z0"/>
    <w:qFormat/>
    <w:rPr>
      <w:rFonts w:ascii="Symbol" w:hAnsi="Symbol" w:cs="Symbol"/>
      <w:sz w:val="20"/>
    </w:rPr>
  </w:style>
  <w:style w:type="character" w:styleId="WW8Num186z1">
    <w:name w:val="WW8Num186z1"/>
    <w:qFormat/>
    <w:rPr>
      <w:rFonts w:ascii="Courier New" w:hAnsi="Courier New" w:cs="Courier New"/>
    </w:rPr>
  </w:style>
  <w:style w:type="character" w:styleId="WW8Num186z2">
    <w:name w:val="WW8Num186z2"/>
    <w:qFormat/>
    <w:rPr>
      <w:rFonts w:ascii="Wingdings" w:hAnsi="Wingdings" w:cs="Wingdings"/>
    </w:rPr>
  </w:style>
  <w:style w:type="character" w:styleId="WW8Num186z3">
    <w:name w:val="WW8Num186z3"/>
    <w:qFormat/>
    <w:rPr>
      <w:rFonts w:ascii="Symbol" w:hAnsi="Symbol" w:cs="Symbol"/>
    </w:rPr>
  </w:style>
  <w:style w:type="character" w:styleId="WW8Num187z0">
    <w:name w:val="WW8Num187z0"/>
    <w:qFormat/>
    <w:rPr>
      <w:rFonts w:ascii="Wingdings" w:hAnsi="Wingdings" w:cs="Wingdings"/>
    </w:rPr>
  </w:style>
  <w:style w:type="character" w:styleId="WW8Num188z0">
    <w:name w:val="WW8Num188z0"/>
    <w:qFormat/>
    <w:rPr>
      <w:rFonts w:ascii="Wingdings" w:hAnsi="Wingdings" w:cs="Wingdings"/>
    </w:rPr>
  </w:style>
  <w:style w:type="character" w:styleId="WW8Num189z0">
    <w:name w:val="WW8Num189z0"/>
    <w:qFormat/>
    <w:rPr>
      <w:rFonts w:ascii="Symbol" w:hAnsi="Symbol" w:cs="Symbol"/>
    </w:rPr>
  </w:style>
  <w:style w:type="character" w:styleId="WW8Num190z0">
    <w:name w:val="WW8Num190z0"/>
    <w:qFormat/>
    <w:rPr>
      <w:rFonts w:ascii="Courier New" w:hAnsi="Courier New" w:cs="Courier New"/>
    </w:rPr>
  </w:style>
  <w:style w:type="character" w:styleId="WW8Num190z2">
    <w:name w:val="WW8Num190z2"/>
    <w:qFormat/>
    <w:rPr>
      <w:rFonts w:ascii="Wingdings" w:hAnsi="Wingdings" w:cs="Wingdings"/>
    </w:rPr>
  </w:style>
  <w:style w:type="character" w:styleId="WW8Num190z3">
    <w:name w:val="WW8Num190z3"/>
    <w:qFormat/>
    <w:rPr>
      <w:rFonts w:ascii="Symbol" w:hAnsi="Symbol" w:cs="Symbol"/>
    </w:rPr>
  </w:style>
  <w:style w:type="character" w:styleId="WW8Num191z0">
    <w:name w:val="WW8Num191z0"/>
    <w:qFormat/>
    <w:rPr>
      <w:rFonts w:ascii="Courier New" w:hAnsi="Courier New" w:cs="Courier New"/>
    </w:rPr>
  </w:style>
  <w:style w:type="character" w:styleId="WW8Num191z2">
    <w:name w:val="WW8Num191z2"/>
    <w:qFormat/>
    <w:rPr>
      <w:rFonts w:ascii="Wingdings" w:hAnsi="Wingdings" w:cs="Wingdings"/>
    </w:rPr>
  </w:style>
  <w:style w:type="character" w:styleId="WW8Num191z3">
    <w:name w:val="WW8Num191z3"/>
    <w:qFormat/>
    <w:rPr>
      <w:rFonts w:ascii="Symbol" w:hAnsi="Symbol" w:cs="Symbol"/>
    </w:rPr>
  </w:style>
  <w:style w:type="character" w:styleId="WW8Num192z0">
    <w:name w:val="WW8Num192z0"/>
    <w:qFormat/>
    <w:rPr>
      <w:rFonts w:ascii="Symbol" w:hAnsi="Symbol" w:cs="Symbol"/>
    </w:rPr>
  </w:style>
  <w:style w:type="character" w:styleId="WW8Num192z1">
    <w:name w:val="WW8Num192z1"/>
    <w:qFormat/>
    <w:rPr>
      <w:rFonts w:ascii="Courier New" w:hAnsi="Courier New" w:cs="Courier New"/>
    </w:rPr>
  </w:style>
  <w:style w:type="character" w:styleId="WW8Num192z2">
    <w:name w:val="WW8Num192z2"/>
    <w:qFormat/>
    <w:rPr>
      <w:rFonts w:ascii="Wingdings" w:hAnsi="Wingdings" w:cs="Wingdings"/>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color w:val="FF00FF"/>
      <w:sz w:val="16"/>
    </w:rPr>
  </w:style>
  <w:style w:type="character" w:styleId="Strong">
    <w:name w:val="Strong"/>
    <w:basedOn w:val="DefaultParagraphFont"/>
    <w:qFormat/>
    <w:rPr>
      <w:b/>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widowControl w:val="false"/>
      <w:spacing w:before="240" w:after="60"/>
      <w:jc w:val="center"/>
    </w:pPr>
    <w:rPr>
      <w:rFonts w:ascii="Arial" w:hAnsi="Arial" w:cs="Arial"/>
      <w:b/>
      <w:color w:val="000080"/>
      <w:kern w:val="2"/>
      <w:sz w:val="3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20" w:after="120"/>
    </w:pPr>
    <w:rPr>
      <w:rFonts w:ascii="Arial" w:hAnsi="Arial" w:cs="Arial"/>
      <w:sz w:val="18"/>
    </w:rPr>
  </w:style>
  <w:style w:type="paragraph" w:styleId="Index">
    <w:name w:val="Index"/>
    <w:basedOn w:val="Normal"/>
    <w:qFormat/>
    <w:pPr>
      <w:suppressLineNumbers/>
    </w:pPr>
    <w:rPr>
      <w:rFonts w:cs="NotoSans NF"/>
    </w:rPr>
  </w:style>
  <w:style w:type="paragraph" w:styleId="CommentText">
    <w:name w:val="Comment Text"/>
    <w:basedOn w:val="Normal"/>
    <w:qFormat/>
    <w:pPr/>
    <w:rPr/>
  </w:style>
  <w:style w:type="paragraph" w:styleId="Date">
    <w:name w:val="Date"/>
    <w:basedOn w:val="Normal"/>
    <w:next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TOC1">
    <w:name w:val="toc 1"/>
    <w:basedOn w:val="Normal"/>
    <w:next w:val="Normal"/>
    <w:pPr/>
    <w:rPr>
      <w:rFonts w:ascii="Arial" w:hAnsi="Arial" w:cs="Arial"/>
      <w:b/>
      <w:bCs/>
      <w:sz w:val="18"/>
    </w:rPr>
  </w:style>
  <w:style w:type="paragraph" w:styleId="TOC2">
    <w:name w:val="toc 2"/>
    <w:basedOn w:val="Normal"/>
    <w:next w:val="Normal"/>
    <w:pPr>
      <w:ind w:hanging="0" w:start="200" w:end="0"/>
    </w:pPr>
    <w:rPr>
      <w:smallCaps/>
    </w:rPr>
  </w:style>
  <w:style w:type="paragraph" w:styleId="TOC3">
    <w:name w:val="toc 3"/>
    <w:basedOn w:val="Normal"/>
    <w:next w:val="Normal"/>
    <w:pPr>
      <w:ind w:hanging="0" w:start="400" w:end="0"/>
    </w:pPr>
    <w:rPr>
      <w:i/>
    </w:rPr>
  </w:style>
  <w:style w:type="paragraph" w:styleId="TOC4">
    <w:name w:val="toc 4"/>
    <w:basedOn w:val="Normal"/>
    <w:next w:val="Normal"/>
    <w:pPr>
      <w:ind w:hanging="0" w:start="600" w:end="0"/>
    </w:pPr>
    <w:rPr>
      <w:sz w:val="18"/>
    </w:rPr>
  </w:style>
  <w:style w:type="paragraph" w:styleId="TOC5">
    <w:name w:val="toc 5"/>
    <w:basedOn w:val="Normal"/>
    <w:next w:val="Normal"/>
    <w:pPr>
      <w:ind w:hanging="0" w:start="800" w:end="0"/>
    </w:pPr>
    <w:rPr>
      <w:sz w:val="18"/>
    </w:rPr>
  </w:style>
  <w:style w:type="paragraph" w:styleId="TOC6">
    <w:name w:val="toc 6"/>
    <w:basedOn w:val="Normal"/>
    <w:next w:val="Normal"/>
    <w:pPr>
      <w:ind w:hanging="0" w:start="1000" w:end="0"/>
    </w:pPr>
    <w:rPr>
      <w:sz w:val="18"/>
    </w:rPr>
  </w:style>
  <w:style w:type="paragraph" w:styleId="TOC7">
    <w:name w:val="toc 7"/>
    <w:basedOn w:val="Normal"/>
    <w:next w:val="Normal"/>
    <w:pPr>
      <w:ind w:hanging="0" w:start="1200" w:end="0"/>
    </w:pPr>
    <w:rPr>
      <w:sz w:val="18"/>
    </w:rPr>
  </w:style>
  <w:style w:type="paragraph" w:styleId="TOC8">
    <w:name w:val="toc 8"/>
    <w:basedOn w:val="Normal"/>
    <w:next w:val="Normal"/>
    <w:pPr>
      <w:ind w:hanging="0" w:start="1400" w:end="0"/>
    </w:pPr>
    <w:rPr>
      <w:sz w:val="18"/>
    </w:rPr>
  </w:style>
  <w:style w:type="paragraph" w:styleId="TOC9">
    <w:name w:val="toc 9"/>
    <w:basedOn w:val="Normal"/>
    <w:next w:val="Normal"/>
    <w:pPr>
      <w:ind w:hanging="0" w:start="1600" w:end="0"/>
    </w:pPr>
    <w:rPr>
      <w:sz w:val="18"/>
    </w:rPr>
  </w:style>
  <w:style w:type="paragraph" w:styleId="Body">
    <w:name w:val="Body"/>
    <w:basedOn w:val="Normal"/>
    <w:qFormat/>
    <w:pPr>
      <w:ind w:hanging="0" w:start="72" w:end="0"/>
    </w:pPr>
    <w:rPr>
      <w:rFonts w:ascii="Arial" w:hAnsi="Arial" w:cs="Arial"/>
      <w:color w:val="00008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BodyTextIndent">
    <w:name w:val="Body Text Indent"/>
    <w:basedOn w:val="Normal"/>
    <w:pPr>
      <w:ind w:hanging="0" w:start="720" w:end="0"/>
    </w:pPr>
    <w:rPr/>
  </w:style>
  <w:style w:type="paragraph" w:styleId="BodyTextIndent2">
    <w:name w:val="Body Text Indent 2"/>
    <w:basedOn w:val="Normal"/>
    <w:qFormat/>
    <w:pPr>
      <w:ind w:firstLine="270" w:start="0" w:end="0"/>
    </w:pPr>
    <w:rPr/>
  </w:style>
  <w:style w:type="paragraph" w:styleId="BodyTextIndent3">
    <w:name w:val="Body Text Indent 3"/>
    <w:basedOn w:val="Normal"/>
    <w:qFormat/>
    <w:pPr>
      <w:ind w:hanging="360" w:start="720" w:end="0"/>
    </w:pPr>
    <w:rPr/>
  </w:style>
  <w:style w:type="paragraph" w:styleId="BodyText3">
    <w:name w:val="Body Text 3"/>
    <w:basedOn w:val="Normal"/>
    <w:qFormat/>
    <w:pPr/>
    <w:rPr>
      <w:b/>
      <w:bCs/>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3.bin"/><Relationship Id="rId2" Type="http://schemas.openxmlformats.org/officeDocument/2006/relationships/image" Target="media/image1.png"/><Relationship Id="rId3" Type="http://schemas.openxmlformats.org/officeDocument/2006/relationships/oleObject" Target="embeddings/oleObject4.bin"/><Relationship Id="rId4"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Elaboration Document.dot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2002-01-07T15:21:00Z</dcterms:created>
  <dc:creator>David Dronet</dc:creator>
  <dc:description/>
  <dc:language>en-CA</dc:language>
  <cp:lastModifiedBy>cgaskill</cp:lastModifiedBy>
  <cp:lastPrinted>2001-04-26T11:10:00Z</cp:lastPrinted>
  <dcterms:modified xsi:type="dcterms:W3CDTF">2002-01-07T15:21:00Z</dcterms:modified>
  <cp:revision>2</cp:revision>
  <dc:subject/>
  <dc:title>Gas Fundamentals System Migration</dc:title>
</cp:coreProperties>
</file>