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UNITED STATES OF AMERICA</w:t>
      </w:r>
    </w:p>
    <w:p>
      <w:pPr>
        <w:pStyle w:val="Normal"/>
        <w:jc w:val="center"/>
        <w:rPr>
          <w:rFonts w:ascii="Arial" w:hAnsi="Arial" w:cs="Arial"/>
          <w:b/>
        </w:rPr>
      </w:pPr>
      <w:r>
        <w:rPr>
          <w:rFonts w:cs="Arial" w:ascii="Arial" w:hAnsi="Arial"/>
          <w:b/>
        </w:rPr>
        <w:t>BEFORE THE</w:t>
      </w:r>
    </w:p>
    <w:p>
      <w:pPr>
        <w:pStyle w:val="Normal"/>
        <w:jc w:val="center"/>
        <w:rPr>
          <w:rFonts w:ascii="Arial" w:hAnsi="Arial" w:cs="Arial"/>
        </w:rPr>
      </w:pPr>
      <w:r>
        <w:rPr>
          <w:rFonts w:cs="Arial" w:ascii="Arial" w:hAnsi="Arial"/>
          <w:b/>
        </w:rPr>
        <w:t>FEDERAL ENERGY REGULATORY COMMISSION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Standards for Business Practices</w:t>
        <w:tab/>
        <w:tab/>
        <w:tab/>
        <w:tab/>
        <w:t xml:space="preserve">Docket No. RM96-1-000 </w:t>
      </w:r>
    </w:p>
    <w:p>
      <w:pPr>
        <w:pStyle w:val="Normal"/>
        <w:rPr>
          <w:rFonts w:ascii="Arial" w:hAnsi="Arial" w:cs="Arial"/>
        </w:rPr>
      </w:pPr>
      <w:r>
        <w:rPr>
          <w:rFonts w:cs="Arial" w:ascii="Arial" w:hAnsi="Arial"/>
        </w:rPr>
        <w:t>Of Interstate Natural Gas Pipelines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Regulation of Short-Term Natural Gas</w:t>
        <w:tab/>
        <w:tab/>
        <w:tab/>
        <w:t xml:space="preserve">Docket No. RM98-10-008 </w:t>
      </w:r>
    </w:p>
    <w:p>
      <w:pPr>
        <w:pStyle w:val="Normal"/>
        <w:rPr>
          <w:rFonts w:ascii="Arial" w:hAnsi="Arial" w:cs="Arial"/>
        </w:rPr>
      </w:pPr>
      <w:r>
        <w:rPr>
          <w:rFonts w:cs="Arial" w:ascii="Arial" w:hAnsi="Arial"/>
        </w:rPr>
        <w:t>Transportation Services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Regulation of Interstate Natural Gas</w:t>
        <w:tab/>
        <w:tab/>
        <w:tab/>
        <w:t>Docket No. RM98-12-008</w:t>
      </w:r>
    </w:p>
    <w:p>
      <w:pPr>
        <w:pStyle w:val="Normal"/>
        <w:rPr>
          <w:rFonts w:ascii="Arial" w:hAnsi="Arial" w:cs="Arial"/>
        </w:rPr>
      </w:pPr>
      <w:r>
        <w:rPr>
          <w:rFonts w:cs="Arial" w:ascii="Arial" w:hAnsi="Arial"/>
        </w:rPr>
        <w:t xml:space="preserve">Transportation Services  </w:t>
      </w:r>
    </w:p>
    <w:p>
      <w:p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COMMENTS OF THE ELECTRIC POWER SUPPLY ASSOCIATION IN OPPOSITION TO THE NOTICE OF PROPOSED RULEMAKING</w:t>
      </w:r>
    </w:p>
    <w:p>
      <w:pPr>
        <w:pStyle w:val="BodyTextStyle"/>
        <w:rPr>
          <w:rFonts w:ascii="Arial" w:hAnsi="Arial" w:cs="Arial"/>
        </w:rPr>
      </w:pPr>
      <w:r>
        <w:rPr>
          <w:rFonts w:cs="Arial" w:ascii="Arial" w:hAnsi="Arial"/>
        </w:rPr>
        <w:t xml:space="preserve">The Electric Power Supply Association (“EPSA”) is filing the following comments in opposition to the Federal Energy Regulatory Commission’s (“Commission”) October 12, 2001 Notice of Proposed Rulemaking (“NOPR”) in the captioned proceeding.  In the NOPR, specifically, the Commission proposes to require pipelines to permit shippers to recall released capacity and renominate such recalled capacity at each nomination opportunity provided by the pipeline according to the notice and bumping provisions applicable to interruptible shippers.   EPSA opposes the NOPR because it (a) will reduce competition in the secondary market for transportation services and (b) may reduce the pipeline operational flexibility needed by electric generators.   Thus, EPSA urges the Commission not to impose a broad based recall requirement throughout the natural gas industry but rather gain experience with this difficult issue in individual Order No. 637 proceedings. </w:t>
      </w:r>
    </w:p>
    <w:p>
      <w:pPr>
        <w:pStyle w:val="Normal"/>
        <w:rPr>
          <w:rFonts w:ascii="Arial" w:hAnsi="Arial" w:cs="Arial"/>
        </w:rPr>
      </w:pPr>
      <w:r>
        <w:rPr>
          <w:rFonts w:cs="Arial" w:ascii="Arial" w:hAnsi="Arial"/>
        </w:rPr>
      </w:r>
    </w:p>
    <w:p>
      <w:pPr>
        <w:pStyle w:val="Normal"/>
        <w:spacing w:lineRule="auto" w:line="480"/>
        <w:jc w:val="center"/>
        <w:rPr>
          <w:rFonts w:ascii="Arial" w:hAnsi="Arial" w:cs="Arial"/>
          <w:b/>
        </w:rPr>
      </w:pPr>
      <w:r>
        <w:rPr>
          <w:rFonts w:cs="Arial" w:ascii="Arial" w:hAnsi="Arial"/>
          <w:b/>
        </w:rPr>
        <w:t>EPSA’S INTERESTS</w:t>
      </w:r>
    </w:p>
    <w:p>
      <w:pPr>
        <w:pStyle w:val="BodyText"/>
        <w:spacing w:lineRule="auto" w:line="480"/>
        <w:rPr/>
      </w:pPr>
      <w:r>
        <w:rPr>
          <w:rFonts w:cs="Arial"/>
        </w:rPr>
        <w:t>EPSA is the 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 EPSA, as an association representing electric generators and power marketers, is neutral as to the fuel used to generate electricity.  At the same time, approximately 61 gigawatts (“GW”) of the 68 GWs added to the U.S. grid from 1997-2000 use natural gas as their primary fuel.</w:t>
      </w:r>
      <w:r>
        <w:rPr>
          <w:rStyle w:val="FootnoteCharacters"/>
          <w:rStyle w:val="FootnoteReference"/>
          <w:rFonts w:cs="Arial"/>
        </w:rPr>
        <w:footnoteReference w:id="2"/>
      </w:r>
      <w:r>
        <w:rPr>
          <w:rFonts w:cs="Arial"/>
        </w:rPr>
        <w:t xml:space="preserve">  As a result, EPSA members have an interest in the efficient operation of the natural gas transportation grid, particularly the overall cost and flexibility of interstate pipeline transportation services. </w:t>
      </w:r>
    </w:p>
    <w:p>
      <w:p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EPSA’S POSITION</w:t>
      </w:r>
    </w:p>
    <w:p>
      <w:pPr>
        <w:pStyle w:val="Normal"/>
        <w:jc w:val="center"/>
        <w:rPr>
          <w:rFonts w:ascii="Arial" w:hAnsi="Arial" w:cs="Arial"/>
          <w:b/>
        </w:rPr>
      </w:pPr>
      <w:r>
        <w:rPr>
          <w:rFonts w:cs="Arial" w:ascii="Arial" w:hAnsi="Arial"/>
          <w:b/>
        </w:rPr>
      </w:r>
    </w:p>
    <w:p>
      <w:pPr>
        <w:pStyle w:val="BodyTextStyle"/>
        <w:rPr/>
      </w:pPr>
      <w:r>
        <w:rPr>
          <w:rFonts w:cs="Arial" w:ascii="Arial" w:hAnsi="Arial"/>
        </w:rPr>
        <w:t>Given these interests, EPSA is opposed to the NOPR.  First, EPSA is concerned that the proposed NOPR will diminish the attractiveness of released capacity as a viable substitute for pipeline firm capacity, thereby harming the efficient functioning of the capacity release market.  EPSA does not take issue with the Commission’s general view that releasing shippers should have the flexibility to structure capacity release transactions that best fit their business needs, because, of course, the releasing shippers purchased the firm capacity in the first instance from the pipeline.</w:t>
      </w:r>
      <w:r>
        <w:rPr>
          <w:rStyle w:val="FootnoteCharacters"/>
          <w:rStyle w:val="FootnoteReference"/>
          <w:rFonts w:cs="Arial" w:ascii="Arial" w:hAnsi="Arial"/>
        </w:rPr>
        <w:footnoteReference w:id="3"/>
      </w:r>
      <w:r>
        <w:rPr>
          <w:rFonts w:cs="Arial" w:ascii="Arial" w:hAnsi="Arial"/>
        </w:rPr>
        <w:t xml:space="preserve">  At the same time, the Commission’s focus on flexibility cannot be skewed solely toward the releasing shipper by allowing, as the NOPR would do, the releasing shipper to recall released capacity at any time, for any reason. </w:t>
      </w:r>
    </w:p>
    <w:p>
      <w:pPr>
        <w:pStyle w:val="BodyTextStyle"/>
        <w:rPr/>
      </w:pPr>
      <w:r>
        <w:rPr>
          <w:rFonts w:cs="Arial" w:ascii="Arial" w:hAnsi="Arial"/>
        </w:rPr>
        <w:t>Rather, the Commission must also bear in mind that the capacity release market was designed as an alternative to the purchase of pipeline services.  A releasing shipper is, in essence, an interstate pipeline competing within an interstate pipeline for firm, as well as interruptible services.</w:t>
      </w:r>
      <w:r>
        <w:rPr>
          <w:rStyle w:val="FootnoteCharacters"/>
          <w:rStyle w:val="FootnoteReference"/>
          <w:rFonts w:cs="Arial" w:ascii="Arial" w:hAnsi="Arial"/>
        </w:rPr>
        <w:footnoteReference w:id="4"/>
      </w:r>
      <w:r>
        <w:rPr>
          <w:rFonts w:cs="Arial" w:ascii="Arial" w:hAnsi="Arial"/>
        </w:rPr>
        <w:t xml:space="preserve">  The proposed NOPR would allow a potential competitor for firm transportation services to offer a firm service that is, in essence, interruptible at any time, because it is only firm at the discretion of the releasing shipper.  This service will be of less value to potential purchasers than any firm service the pipeline could offer.  Indeed, the Commission would not even allow the pipelines to offer such a service.  Moreover, a form of interruptible capacity release will be inferior to the normal pipeline interruptible capacity since the market participant will not have the same predictability of when capacity will be interrupted as it does with pipeline interruptible capacity.</w:t>
      </w:r>
    </w:p>
    <w:p>
      <w:pPr>
        <w:pStyle w:val="BodyTextStyle"/>
        <w:rPr/>
      </w:pPr>
      <w:r>
        <w:rPr>
          <w:rFonts w:cs="Arial" w:ascii="Arial" w:hAnsi="Arial"/>
        </w:rPr>
        <w:t>Given the reduction anticipated in options for transportation service, the Commission’s response should not simply be to accept the situation</w:t>
      </w:r>
      <w:r>
        <w:rPr>
          <w:rStyle w:val="FootnoteCharacters"/>
          <w:rStyle w:val="FootnoteReference"/>
          <w:rFonts w:cs="Arial" w:ascii="Arial" w:hAnsi="Arial"/>
        </w:rPr>
        <w:footnoteReference w:id="5"/>
      </w:r>
      <w:r>
        <w:rPr>
          <w:rFonts w:cs="Arial" w:ascii="Arial" w:hAnsi="Arial"/>
        </w:rPr>
        <w:t xml:space="preserve"> because at least one will know that released capacity is less valuable.</w:t>
      </w:r>
      <w:r>
        <w:rPr>
          <w:rStyle w:val="FootnoteCharacters"/>
          <w:rStyle w:val="FootnoteReference"/>
          <w:rFonts w:cs="Arial" w:ascii="Arial" w:hAnsi="Arial"/>
        </w:rPr>
        <w:footnoteReference w:id="6"/>
      </w:r>
      <w:r>
        <w:rPr>
          <w:rFonts w:cs="Arial" w:ascii="Arial" w:hAnsi="Arial"/>
        </w:rPr>
        <w:t xml:space="preserve">  Rather, the answer should be that prior to going forward with a NOPR that will reduce options in the secondary market, the Commission should explore all reasonable alternatives.</w:t>
      </w:r>
      <w:r>
        <w:rPr>
          <w:rStyle w:val="FootnoteCharacters"/>
          <w:rStyle w:val="FootnoteReference"/>
          <w:rFonts w:cs="Arial" w:ascii="Arial" w:hAnsi="Arial"/>
        </w:rPr>
        <w:footnoteReference w:id="7"/>
      </w:r>
      <w:r>
        <w:rPr>
          <w:rFonts w:cs="Arial" w:ascii="Arial" w:hAnsi="Arial"/>
        </w:rPr>
        <w:t xml:space="preserve">  For example Dynegy</w:t>
      </w:r>
      <w:r>
        <w:rPr>
          <w:rStyle w:val="FootnoteCharacters"/>
          <w:rStyle w:val="FootnoteReference"/>
          <w:rFonts w:cs="Arial" w:ascii="Arial" w:hAnsi="Arial"/>
        </w:rPr>
        <w:footnoteReference w:id="8"/>
      </w:r>
      <w:r>
        <w:rPr>
          <w:rFonts w:cs="Arial" w:ascii="Arial" w:hAnsi="Arial"/>
        </w:rPr>
        <w:t xml:space="preserve"> makes the persuasive point that rather than disrupting the market through the recall of capacity, LDCs can easily go into the market and purchase any capacity they need for reliability purposes.  As Dynegy said:</w:t>
      </w:r>
    </w:p>
    <w:p>
      <w:pPr>
        <w:pStyle w:val="BodyTextStyle"/>
        <w:spacing w:lineRule="auto" w:line="240"/>
        <w:rPr>
          <w:rFonts w:ascii="Arial" w:hAnsi="Arial" w:cs="Arial"/>
        </w:rPr>
      </w:pPr>
      <w:r>
        <w:rPr>
          <w:rFonts w:cs="Arial" w:ascii="Arial" w:hAnsi="Arial"/>
        </w:rPr>
      </w:r>
    </w:p>
    <w:p>
      <w:pPr>
        <w:pStyle w:val="BlockQuote"/>
        <w:spacing w:lineRule="auto" w:line="240" w:before="0" w:after="0"/>
        <w:rPr>
          <w:rFonts w:ascii="Arial" w:hAnsi="Arial" w:cs="Arial"/>
        </w:rPr>
      </w:pPr>
      <w:r>
        <w:rPr>
          <w:rFonts w:cs="Arial" w:ascii="Arial" w:hAnsi="Arial"/>
        </w:rPr>
        <w:t>The secondary market works well and should be relied upon to fill the void that AGA claims to exist.  AGA members requiring supplies of gas at their city gates on the same day can find those supplies with a phone call or on gas exchanges and EBBs.  If capacity is available, it will be posted.  If the gas or capacity is not available, the last event the market needs is an unexpected recall of needed gas.  Rather than deprive a supplier of needed transportation, isn’t the market better served by finding a WILLING SELLER of the service.</w:t>
      </w:r>
      <w:r>
        <w:rPr>
          <w:rStyle w:val="FootnoteCharacters"/>
          <w:rStyle w:val="FootnoteReference"/>
          <w:rFonts w:cs="Arial" w:ascii="Arial" w:hAnsi="Arial"/>
        </w:rPr>
        <w:footnoteReference w:id="9"/>
      </w:r>
    </w:p>
    <w:p>
      <w:pPr>
        <w:pStyle w:val="BodyTextStyle"/>
        <w:rPr/>
      </w:pPr>
      <w:r>
        <w:rPr>
          <w:rFonts w:cs="Arial" w:ascii="Arial" w:hAnsi="Arial"/>
        </w:rPr>
        <w:t>Second, EPSA is concerned with the costs pipeline may incur to implement the proposal and more importantly whether implementing this proposal will reduce the flexibility of pipeline services.  The Commission asserts that its proposal is not designed to cause operational problems for the pipelines.  Yet, the comments filed prior to the NOPR in response to the AGA petition, particularly the comments of the Interstate Natural Gas Association of America (“INGAA”)</w:t>
      </w:r>
      <w:r>
        <w:rPr>
          <w:rStyle w:val="FootnoteCharacters"/>
          <w:rStyle w:val="FootnoteReference"/>
          <w:rFonts w:cs="Arial" w:ascii="Arial" w:hAnsi="Arial"/>
        </w:rPr>
        <w:footnoteReference w:id="10"/>
      </w:r>
      <w:r>
        <w:rPr>
          <w:rFonts w:cs="Arial" w:ascii="Arial" w:hAnsi="Arial"/>
        </w:rPr>
        <w:t xml:space="preserve"> and Duke Energy Gas Transmission (“DEGT”)</w:t>
      </w:r>
      <w:r>
        <w:rPr>
          <w:rStyle w:val="FootnoteCharacters"/>
          <w:rStyle w:val="FootnoteReference"/>
          <w:rFonts w:cs="Arial" w:ascii="Arial" w:hAnsi="Arial"/>
        </w:rPr>
        <w:footnoteReference w:id="11"/>
      </w:r>
      <w:r>
        <w:rPr>
          <w:rFonts w:cs="Arial" w:ascii="Arial" w:hAnsi="Arial"/>
        </w:rPr>
        <w:t xml:space="preserve"> in opposing the proposal, recognized the host of thorny issues that must be addressed in order to implement a workable partial day flowing recall program.  Not the least of those issues is described in INGAA’s comments concerning revised scheduling procedures.</w:t>
      </w:r>
    </w:p>
    <w:p>
      <w:pPr>
        <w:pStyle w:val="BlockQuote"/>
        <w:rPr>
          <w:rFonts w:ascii="Arial" w:hAnsi="Arial" w:cs="Arial"/>
        </w:rPr>
      </w:pPr>
      <w:r>
        <w:rPr>
          <w:rFonts w:cs="Arial" w:ascii="Arial" w:hAnsi="Arial"/>
        </w:rPr>
        <w:t>Recalls after gas has been scheduled on released capacity or during the gas day would present significant scheduling difficulties because the related nominations would have to be revalidated to determine the correct capacity holder in each cycle.  It could also require a complete change as to how the capacity would be billed regarding reservation charges and crediting, and capacity fees including capacity overruns.  Questions would arise as to who should receive the bill for that day (the replacement shippers, the releasing shippers or both shippers) Other technical and practical differences must be worked out.  Therefore, instituting recalls during the gas flow day would require a much broader rule than merely applying the same scheduling rules to recalls.</w:t>
      </w:r>
    </w:p>
    <w:p>
      <w:pPr>
        <w:pStyle w:val="BodyTextStyle"/>
        <w:rPr/>
      </w:pPr>
      <w:r>
        <w:rPr>
          <w:rFonts w:cs="Arial" w:ascii="Arial" w:hAnsi="Arial"/>
        </w:rPr>
        <w:t xml:space="preserve">The pipeline’s concerns as well as the obvious difficulty that the Gas Industry Standards Board (“GISB”) encountered stems </w:t>
      </w:r>
      <w:r>
        <w:rPr>
          <w:rFonts w:cs="Arial" w:ascii="Arial" w:hAnsi="Arial"/>
          <w:i/>
        </w:rPr>
        <w:t>inter-alia</w:t>
      </w:r>
      <w:r>
        <w:rPr>
          <w:rFonts w:cs="Arial" w:ascii="Arial" w:hAnsi="Arial"/>
        </w:rPr>
        <w:t>, from the fact that the Commission-approved GISB standards are drafted to address daily business by natural gas pipelines.  The GISB standards address daily entitlements and scheduling of daily quantities.</w:t>
      </w:r>
      <w:r>
        <w:rPr>
          <w:rStyle w:val="FootnoteCharacters"/>
          <w:rStyle w:val="FootnoteReference"/>
          <w:rFonts w:cs="Arial" w:ascii="Arial" w:hAnsi="Arial"/>
        </w:rPr>
        <w:footnoteReference w:id="12"/>
      </w:r>
      <w:r>
        <w:rPr>
          <w:rFonts w:cs="Arial" w:ascii="Arial" w:hAnsi="Arial"/>
        </w:rPr>
        <w:t xml:space="preserve">  Given the comments of INGAA and others, as well as the focus of the GISB standards on daily business, the Commission in the NOPR simply rules too broadly when it asserts:</w:t>
      </w:r>
    </w:p>
    <w:p>
      <w:pPr>
        <w:pStyle w:val="BlockQuote"/>
        <w:rPr>
          <w:rFonts w:ascii="Arial" w:hAnsi="Arial" w:cs="Arial"/>
        </w:rPr>
      </w:pPr>
      <w:r>
        <w:rPr>
          <w:rFonts w:cs="Arial" w:ascii="Arial" w:hAnsi="Arial"/>
        </w:rPr>
        <w:t>Partial day recalls should not adversely affect scheduling procedures, since under the Commission’s proposal, recalls will take place under the same nomination timeline currently used for nominating and scheduling firm and interruptible service, including the bumping of interruptible service.  Order No. 637 already requires pipelines to implement procedures to allocate capacity and potential imbalances and penalties associated with partial day releases, so the same procedures can be used for partial day recalls.</w:t>
      </w:r>
    </w:p>
    <w:p>
      <w:pPr>
        <w:pStyle w:val="BodyTextStyle"/>
        <w:rPr>
          <w:rFonts w:ascii="Arial" w:hAnsi="Arial" w:cs="Arial"/>
        </w:rPr>
      </w:pPr>
      <w:r>
        <w:rPr>
          <w:rFonts w:cs="Arial" w:ascii="Arial" w:hAnsi="Arial"/>
        </w:rPr>
        <w:t xml:space="preserve">At this stage of the Commission’s deliberations, EPSA is not as confident as the Commission in the pipelines’ ability to implement the proposal without doing more harm to competitive market than the proposal itself would benefit releasing shippers.  Specifically, EPSA is concerned that the pipelines, to implement the proposal, may also seek to impose tighter operational controls antithetical to the needs of electric generators, such as lower tolerances and daily balancing. </w:t>
      </w:r>
    </w:p>
    <w:p>
      <w:pPr>
        <w:pStyle w:val="BodyTextStyle"/>
        <w:rPr/>
      </w:pPr>
      <w:r>
        <w:rPr>
          <w:rFonts w:cs="Arial" w:ascii="Arial" w:hAnsi="Arial"/>
        </w:rPr>
        <w:t xml:space="preserve">This adverse impact on shipper flexibility and the secondary market in general was not contemplated when the Commission issued Order No. 637.  To the contrary, the Commission’s focus in Order No. 637 was fostering a “more competitive short-term market,” </w:t>
      </w:r>
      <w:r>
        <w:rPr>
          <w:rFonts w:cs="Arial" w:ascii="Arial" w:hAnsi="Arial"/>
          <w:i/>
        </w:rPr>
        <w:t>i.e.,</w:t>
      </w:r>
      <w:r>
        <w:rPr>
          <w:rFonts w:cs="Arial" w:ascii="Arial" w:hAnsi="Arial"/>
        </w:rPr>
        <w:t xml:space="preserve"> a market more competitive for pipeline services, by making it easier for </w:t>
      </w:r>
      <w:r>
        <w:rPr>
          <w:rFonts w:cs="Arial" w:ascii="Arial" w:hAnsi="Arial"/>
          <w:u w:val="single"/>
        </w:rPr>
        <w:t>purchasers</w:t>
      </w:r>
      <w:r>
        <w:rPr>
          <w:rFonts w:cs="Arial" w:ascii="Arial" w:hAnsi="Arial"/>
        </w:rPr>
        <w:t xml:space="preserve"> of released capacity to use that capacity. </w:t>
      </w:r>
      <w:r>
        <w:rPr>
          <w:rFonts w:cs="Arial" w:ascii="Arial" w:hAnsi="Arial"/>
          <w:i/>
        </w:rPr>
        <w:t xml:space="preserve"> </w:t>
      </w:r>
      <w:r>
        <w:rPr>
          <w:rFonts w:cs="Arial" w:ascii="Arial" w:hAnsi="Arial"/>
        </w:rPr>
        <w:t xml:space="preserve">In Order No. 637, the Commission found a “general consensus” that the current restrictions on nominations and scheduling of capacity release do inhibit the use of released capacity.  In response to that “consensus” — a consensus certainty not found with this proposal — the Commission ordered that pipelines must provide </w:t>
      </w:r>
      <w:r>
        <w:rPr>
          <w:rFonts w:cs="Arial" w:ascii="Arial" w:hAnsi="Arial"/>
          <w:u w:val="single"/>
        </w:rPr>
        <w:t>purchasers</w:t>
      </w:r>
      <w:r>
        <w:rPr>
          <w:rFonts w:cs="Arial" w:ascii="Arial" w:hAnsi="Arial"/>
        </w:rPr>
        <w:t xml:space="preserve"> of released capacity the same ability to submit a nomination at the first available opportunity after consummation of the deal as a shipper purchasing capacity from the pipeline.  The Commission added: </w:t>
      </w:r>
    </w:p>
    <w:p>
      <w:pPr>
        <w:pStyle w:val="BlockQuote"/>
        <w:rPr>
          <w:rFonts w:ascii="Arial" w:hAnsi="Arial" w:cs="Arial"/>
        </w:rPr>
      </w:pPr>
      <w:r>
        <w:rPr>
          <w:rFonts w:cs="Arial" w:ascii="Arial" w:hAnsi="Arial"/>
        </w:rPr>
        <w:t>This will enable shippers to acquire released capacity at any nomination or intra-day nomination times, and nominate gas coincident with their acquisition of capacity. By enabling released capacity to compete on a comparable basis with pipeline capacity, this will foster a more competitive short-term market.</w:t>
      </w:r>
      <w:r>
        <w:rPr>
          <w:rStyle w:val="FootnoteCharacters"/>
          <w:rStyle w:val="FootnoteReference"/>
          <w:rFonts w:cs="Arial" w:ascii="Arial" w:hAnsi="Arial"/>
        </w:rPr>
        <w:footnoteReference w:id="13"/>
      </w:r>
    </w:p>
    <w:p>
      <w:pPr>
        <w:pStyle w:val="BodyTextStyle"/>
        <w:rPr>
          <w:rFonts w:ascii="Arial" w:hAnsi="Arial" w:cs="Arial"/>
        </w:rPr>
      </w:pPr>
      <w:r>
        <w:rPr>
          <w:rFonts w:cs="Arial" w:ascii="Arial" w:hAnsi="Arial"/>
        </w:rPr>
        <w:t>The AGA petition and the Commission’s subsequent NOPR turns the Commission’s findings and actions in Order No. 637 on its head.  Order No. 637 was designed to give those that purchased released capacity more flexibility in scheduling, an action designed to facilitate released capacity as an alternative vis-a-vis pipeline capacity.  That Order cannot be used as justification for taking released capacity away from purchasers, if the releasing shipper so wishes.</w:t>
      </w:r>
    </w:p>
    <w:p>
      <w:pPr>
        <w:pStyle w:val="BodyTextStyle"/>
        <w:rPr>
          <w:rFonts w:ascii="Arial" w:hAnsi="Arial" w:cs="Arial"/>
        </w:rPr>
      </w:pPr>
      <w:r>
        <w:rPr>
          <w:rFonts w:cs="Arial" w:ascii="Arial" w:hAnsi="Arial"/>
        </w:rPr>
        <w:t>No doubt the fact that recalls were not the focus of Order No. 637, contributed, in part, to the failure of GISB to resolve the issue.  In the past, GISB has had success in implementing Commission’s initiatives, particularly when there was clear Commission direction based on a record that was thoroughly vetted.  At the very least, the failure of the GISB process to resolve the issue should give the Commission some pause that this NOPR, painting on it does with such a broad brush on the issue of recalls, is not the appropriate course at this time.  Rather EPSA believes these issues should be vetted within the Order No. 637 process on individual pipelines and only after sufficient experience has been gained should the Commission mandate the ability of releasing shipper to recall capacity as proposed in this NOPR.</w:t>
      </w:r>
    </w:p>
    <w:p>
      <w:pPr>
        <w:pStyle w:val="BodyTextStyle"/>
        <w:rPr>
          <w:rFonts w:ascii="Arial" w:hAnsi="Arial" w:cs="Arial"/>
        </w:rPr>
      </w:pPr>
      <w:r>
        <w:rPr>
          <w:rFonts w:cs="Arial" w:ascii="Arial" w:hAnsi="Arial"/>
        </w:rPr>
      </w:r>
    </w:p>
    <w:p>
      <w:pPr>
        <w:pStyle w:val="BodyTextStyle"/>
        <w:ind w:hanging="0" w:end="0"/>
        <w:jc w:val="center"/>
        <w:rPr>
          <w:rFonts w:ascii="Arial" w:hAnsi="Arial" w:cs="Arial"/>
          <w:b/>
        </w:rPr>
      </w:pPr>
      <w:r>
        <w:rPr>
          <w:rFonts w:cs="Arial" w:ascii="Arial" w:hAnsi="Arial"/>
          <w:b/>
        </w:rPr>
        <w:t>CONCLUSION</w:t>
      </w:r>
    </w:p>
    <w:p>
      <w:pPr>
        <w:pStyle w:val="BodyTextStyle"/>
        <w:ind w:firstLine="720" w:end="0"/>
        <w:rPr>
          <w:rFonts w:ascii="Arial" w:hAnsi="Arial" w:cs="Arial"/>
        </w:rPr>
      </w:pPr>
      <w:r>
        <w:rPr>
          <w:rFonts w:cs="Arial" w:ascii="Arial" w:hAnsi="Arial"/>
        </w:rPr>
        <w:t>WHEREFORE, the EPSA requests that the Commission not adopt the final rule as set forth herein.</w:t>
      </w:r>
    </w:p>
    <w:p>
      <w:pPr>
        <w:pStyle w:val="SignatureBlock"/>
        <w:rPr>
          <w:rFonts w:ascii="Arial" w:hAnsi="Arial" w:cs="Arial"/>
        </w:rPr>
      </w:pPr>
      <w:r>
        <w:rPr>
          <w:rFonts w:cs="Arial" w:ascii="Arial" w:hAnsi="Arial"/>
        </w:rPr>
      </w:r>
    </w:p>
    <w:p>
      <w:pPr>
        <w:pStyle w:val="SignatureBlock"/>
        <w:rPr>
          <w:rFonts w:ascii="Arial" w:hAnsi="Arial" w:cs="Arial"/>
        </w:rPr>
      </w:pPr>
      <w:r>
        <w:rPr>
          <w:rFonts w:cs="Arial" w:ascii="Arial" w:hAnsi="Arial"/>
        </w:rPr>
      </w:r>
    </w:p>
    <w:p>
      <w:pPr>
        <w:pStyle w:val="SignatureBlock"/>
        <w:rPr>
          <w:rFonts w:ascii="Arial" w:hAnsi="Arial" w:cs="Arial"/>
        </w:rPr>
      </w:pPr>
      <w:r>
        <w:rPr>
          <w:rFonts w:cs="Arial" w:ascii="Arial" w:hAnsi="Arial"/>
        </w:rPr>
        <w:t xml:space="preserve">EPSA Signature </w:t>
      </w:r>
    </w:p>
    <w:p>
      <w:pPr>
        <w:pStyle w:val="SignatureBlock"/>
        <w:rPr>
          <w:rFonts w:ascii="Arial" w:hAnsi="Arial" w:cs="Arial"/>
        </w:rPr>
      </w:pPr>
      <w:r>
        <w:rPr>
          <w:rFonts w:cs="Arial" w:ascii="Arial" w:hAnsi="Arial"/>
        </w:rPr>
        <w:t>Of Counsel</w:t>
      </w:r>
    </w:p>
    <w:p>
      <w:pPr>
        <w:pStyle w:val="SignatureBlock"/>
        <w:rPr>
          <w:rFonts w:ascii="Arial" w:hAnsi="Arial" w:cs="Arial"/>
        </w:rPr>
      </w:pPr>
      <w:r>
        <w:rPr>
          <w:rFonts w:cs="Arial" w:ascii="Arial" w:hAnsi="Arial"/>
        </w:rPr>
      </w:r>
    </w:p>
    <w:p>
      <w:pPr>
        <w:pStyle w:val="SignatureBlock"/>
        <w:rPr>
          <w:rFonts w:ascii="Arial" w:hAnsi="Arial" w:cs="Arial"/>
        </w:rPr>
      </w:pPr>
      <w:r>
        <w:rPr>
          <w:rFonts w:cs="Arial" w:ascii="Arial" w:hAnsi="Arial"/>
        </w:rPr>
        <w:t>Larry Eisenstat</w:t>
      </w:r>
    </w:p>
    <w:p>
      <w:pPr>
        <w:pStyle w:val="SignatureBlock"/>
        <w:rPr>
          <w:rFonts w:ascii="Arial" w:hAnsi="Arial" w:cs="Arial"/>
        </w:rPr>
      </w:pPr>
      <w:r>
        <w:rPr>
          <w:rFonts w:cs="Arial" w:ascii="Arial" w:hAnsi="Arial"/>
        </w:rPr>
        <w:t>Robert C. Fallon</w:t>
      </w:r>
    </w:p>
    <w:p>
      <w:pPr>
        <w:pStyle w:val="SignatureBlock"/>
        <w:rPr>
          <w:rFonts w:ascii="Arial" w:hAnsi="Arial" w:cs="Arial"/>
        </w:rPr>
      </w:pPr>
      <w:r>
        <w:rPr>
          <w:rFonts w:cs="Arial" w:ascii="Arial" w:hAnsi="Arial"/>
        </w:rPr>
        <w:t xml:space="preserve">DSMO </w:t>
      </w:r>
    </w:p>
    <w:p>
      <w:pPr>
        <w:pStyle w:val="SignatureBlock"/>
        <w:rPr>
          <w:rFonts w:ascii="Arial" w:hAnsi="Arial" w:cs="Arial"/>
        </w:rPr>
      </w:pPr>
      <w:r>
        <w:rPr>
          <w:rFonts w:cs="Arial" w:ascii="Arial" w:hAnsi="Arial"/>
        </w:rPr>
        <w:t>Address</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1367227</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T@YJ01!.DOC</w:t>
    </w:r>
    <w:r>
      <w:rPr>
        <w:sz w:val="12"/>
        <w:rFonts w:cs="Arial" w:ascii="Arial" w:hAnsi="Arial"/>
      </w:rPr>
      <w:fldChar w:fldCharType="end"/>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1367227</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T@YJ01!.DOC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rFonts w:cs="Arial" w:ascii="Arial" w:hAnsi="Arial"/>
          <w:sz w:val="20"/>
        </w:rPr>
        <w:t xml:space="preserve"> </w:t>
      </w:r>
      <w:r>
        <w:rPr>
          <w:rFonts w:cs="Arial" w:ascii="Arial" w:hAnsi="Arial"/>
          <w:sz w:val="20"/>
        </w:rPr>
        <w:t>The Changing Face Of U.S. Power Supplies:  An EPSA Industry Review November 1, 2001.</w:t>
      </w:r>
    </w:p>
  </w:footnote>
  <w:footnote w:id="3">
    <w:p>
      <w:pPr>
        <w:pStyle w:val="FootnoteText"/>
        <w:spacing w:before="0" w:after="120"/>
        <w:rPr/>
      </w:pPr>
      <w:r>
        <w:rPr>
          <w:rStyle w:val="FootnoteCharacters"/>
        </w:rPr>
        <w:footnoteRef/>
      </w:r>
      <w:r>
        <w:rPr>
          <w:rFonts w:cs="Arial" w:ascii="Arial" w:hAnsi="Arial"/>
          <w:sz w:val="20"/>
        </w:rPr>
        <w:t xml:space="preserve"> </w:t>
      </w:r>
      <w:r>
        <w:rPr>
          <w:rFonts w:cs="Arial" w:ascii="Arial" w:hAnsi="Arial"/>
          <w:sz w:val="20"/>
        </w:rPr>
        <w:t>Insert cite from NOPR.</w:t>
      </w:r>
    </w:p>
  </w:footnote>
  <w:footnote w:id="4">
    <w:p>
      <w:pPr>
        <w:pStyle w:val="FootnoteText"/>
        <w:spacing w:before="0" w:after="120"/>
        <w:rPr/>
      </w:pPr>
      <w:r>
        <w:rPr>
          <w:rStyle w:val="FootnoteCharacters"/>
        </w:rPr>
        <w:footnoteRef/>
      </w:r>
      <w:r>
        <w:rPr>
          <w:rFonts w:cs="Arial" w:ascii="Arial" w:hAnsi="Arial"/>
          <w:sz w:val="20"/>
        </w:rPr>
        <w:t xml:space="preserve"> </w:t>
      </w:r>
      <w:r>
        <w:rPr>
          <w:rFonts w:cs="Arial" w:ascii="Arial" w:hAnsi="Arial"/>
          <w:sz w:val="20"/>
        </w:rPr>
        <w:t>Need cite for general proposition</w:t>
      </w:r>
    </w:p>
  </w:footnote>
  <w:footnote w:id="5">
    <w:p>
      <w:pPr>
        <w:pStyle w:val="FootnoteText"/>
        <w:rPr/>
      </w:pPr>
      <w:r>
        <w:rPr>
          <w:rStyle w:val="FootnoteCharacters"/>
        </w:rPr>
        <w:footnoteRef/>
      </w:r>
      <w:r>
        <w:rPr>
          <w:rFonts w:cs="Arial" w:ascii="Arial" w:hAnsi="Arial"/>
          <w:sz w:val="20"/>
        </w:rPr>
        <w:t xml:space="preserve"> </w:t>
      </w:r>
      <w:r>
        <w:rPr>
          <w:rFonts w:cs="Arial" w:ascii="Arial" w:hAnsi="Arial"/>
          <w:i/>
          <w:sz w:val="20"/>
        </w:rPr>
        <w:t>American Gas Association Reply to February 1, 2001 Gas Industry Standards Board Report And Petition for Clarification and Directive From FERC Regarding Requirement For Capacity Release Scheduling Equality</w:t>
      </w:r>
      <w:r>
        <w:rPr>
          <w:rFonts w:cs="Arial" w:ascii="Arial" w:hAnsi="Arial"/>
          <w:sz w:val="20"/>
        </w:rPr>
        <w:t>, filed March 16, 2001 at 14 where AGA said:</w:t>
      </w:r>
    </w:p>
    <w:p>
      <w:pPr>
        <w:pStyle w:val="BlockQuote"/>
        <w:spacing w:lineRule="auto" w:line="240" w:before="0" w:after="0"/>
        <w:rPr>
          <w:rFonts w:ascii="Arial" w:hAnsi="Arial" w:cs="Arial"/>
          <w:sz w:val="20"/>
        </w:rPr>
      </w:pPr>
      <w:r>
        <w:rPr>
          <w:rFonts w:cs="Arial" w:ascii="Arial" w:hAnsi="Arial"/>
          <w:sz w:val="20"/>
        </w:rPr>
        <w:t xml:space="preserve">Also obvious is that it is the marketers’ option whether to purchase recallable release capacity, short-term firm or other transportation from the pipeline or subscribe to firm transportation.  Hopefully, as the industry moves toward more real-time or hourly nomination opportunities these types of concerns will lesson as fluidity increases.  In today’s dynamic gas market, it is the price all parties must pay to do business in the secondary market.  Long-term firm capacity on interstate pipelines is available for those market participants that determine firmness of service is a critical attribute that must dictate their purchases. </w:t>
      </w:r>
    </w:p>
    <w:p>
      <w:pPr>
        <w:pStyle w:val="BlockQuote"/>
        <w:spacing w:lineRule="auto" w:line="240" w:before="0" w:after="0"/>
        <w:rPr>
          <w:rFonts w:ascii="Arial" w:hAnsi="Arial" w:cs="Arial"/>
          <w:sz w:val="20"/>
        </w:rPr>
      </w:pPr>
      <w:r>
        <w:rPr>
          <w:rFonts w:cs="Arial" w:ascii="Arial" w:hAnsi="Arial"/>
          <w:sz w:val="20"/>
        </w:rPr>
      </w:r>
    </w:p>
  </w:footnote>
  <w:footnote w:id="6">
    <w:p>
      <w:pPr>
        <w:pStyle w:val="FootnoteText"/>
        <w:rPr/>
      </w:pPr>
      <w:r>
        <w:rPr>
          <w:rStyle w:val="FootnoteCharacters"/>
        </w:rPr>
        <w:footnoteRef/>
      </w:r>
      <w:r>
        <w:rPr>
          <w:rFonts w:cs="Arial" w:ascii="Arial" w:hAnsi="Arial"/>
          <w:sz w:val="20"/>
        </w:rPr>
        <w:t xml:space="preserve"> </w:t>
      </w:r>
      <w:r>
        <w:rPr>
          <w:rFonts w:cs="Arial" w:ascii="Arial" w:hAnsi="Arial"/>
          <w:sz w:val="20"/>
        </w:rPr>
        <w:t>As the Commission said:</w:t>
      </w:r>
    </w:p>
    <w:p>
      <w:pPr>
        <w:pStyle w:val="BlockQuote"/>
        <w:rPr>
          <w:rFonts w:ascii="Arial" w:hAnsi="Arial" w:cs="Arial"/>
          <w:sz w:val="20"/>
        </w:rPr>
      </w:pPr>
      <w:r>
        <w:rPr>
          <w:rFonts w:cs="Arial" w:ascii="Arial" w:hAnsi="Arial"/>
          <w:sz w:val="20"/>
        </w:rPr>
        <w:t xml:space="preserve">While including partial recalls may make some capacity releases less valuable to replacement shippers, as Dynegy and NGSA assert, the replacement shippers will know the terms of the releases upfront and can determine whether to purchase that capacity or seek more reliable capacity and can take the recall conditions into account in determining how much the capacity is worth.   </w:t>
      </w:r>
    </w:p>
    <w:p>
      <w:pPr>
        <w:pStyle w:val="FootnoteText"/>
        <w:rPr>
          <w:rFonts w:ascii="Arial" w:hAnsi="Arial" w:cs="Arial"/>
          <w:sz w:val="20"/>
        </w:rPr>
      </w:pPr>
      <w:r>
        <w:rPr>
          <w:rFonts w:cs="Arial" w:ascii="Arial" w:hAnsi="Arial"/>
          <w:sz w:val="20"/>
        </w:rPr>
      </w:r>
    </w:p>
    <w:p>
      <w:pPr>
        <w:pStyle w:val="FootnoteText"/>
        <w:spacing w:before="0" w:after="120"/>
        <w:rPr>
          <w:rFonts w:ascii="Arial" w:hAnsi="Arial" w:cs="Arial"/>
          <w:sz w:val="20"/>
        </w:rPr>
      </w:pPr>
      <w:r>
        <w:rPr>
          <w:rFonts w:cs="Arial" w:ascii="Arial" w:hAnsi="Arial"/>
          <w:sz w:val="20"/>
        </w:rPr>
      </w:r>
    </w:p>
  </w:footnote>
  <w:footnote w:id="7">
    <w:p>
      <w:pPr>
        <w:pStyle w:val="FootnoteText"/>
        <w:spacing w:before="0" w:after="120"/>
        <w:rPr/>
      </w:pPr>
      <w:r>
        <w:rPr>
          <w:rStyle w:val="FootnoteCharacters"/>
        </w:rPr>
        <w:footnoteRef/>
      </w:r>
      <w:r>
        <w:rPr>
          <w:rFonts w:cs="Arial" w:ascii="Arial" w:hAnsi="Arial"/>
          <w:sz w:val="20"/>
        </w:rPr>
        <w:t xml:space="preserve"> </w:t>
      </w:r>
      <w:r>
        <w:rPr>
          <w:rFonts w:cs="Arial" w:ascii="Arial" w:hAnsi="Arial"/>
          <w:sz w:val="20"/>
        </w:rPr>
        <w:t>After exploring all alternatives, the Commission might consider narrowly tailoring any recall ability that specifically addresses the needs of LDCs as releasing shippers. The AGA itself suggested in their comments an alternative that would narrow the ability to recall capacity,</w:t>
      </w:r>
      <w:r>
        <w:rPr>
          <w:rFonts w:cs="Arial" w:ascii="Arial" w:hAnsi="Arial"/>
          <w:i/>
          <w:sz w:val="20"/>
        </w:rPr>
        <w:t xml:space="preserve"> i.e., </w:t>
      </w:r>
      <w:r>
        <w:rPr>
          <w:rFonts w:cs="Arial" w:ascii="Arial" w:hAnsi="Arial"/>
          <w:sz w:val="20"/>
        </w:rPr>
        <w:t>allowing capacity to be recalled only if the replacement shipper is a third party supplier in the LDCs’ unbundling program and they fail to fulfill their obligation to deliver gas to the city gate.  AGA Reply at 13.</w:t>
      </w:r>
    </w:p>
  </w:footnote>
  <w:footnote w:id="8">
    <w:p>
      <w:pPr>
        <w:pStyle w:val="FootnoteText"/>
        <w:spacing w:before="0" w:after="120"/>
        <w:rPr/>
      </w:pPr>
      <w:r>
        <w:rPr>
          <w:rStyle w:val="FootnoteCharacters"/>
        </w:rPr>
        <w:footnoteRef/>
      </w:r>
      <w:r>
        <w:rPr>
          <w:rFonts w:cs="Arial" w:ascii="Arial" w:hAnsi="Arial"/>
          <w:sz w:val="20"/>
        </w:rPr>
        <w:t xml:space="preserve"> </w:t>
      </w:r>
      <w:r>
        <w:rPr>
          <w:rFonts w:cs="Arial" w:ascii="Arial" w:hAnsi="Arial"/>
          <w:sz w:val="20"/>
        </w:rPr>
        <w:t>Motion for Leave to Intervene, Protest and Request for a Technical Conference of Dynegy Marketing and Trade, filed April 16, 2001 at 6.</w:t>
      </w:r>
    </w:p>
  </w:footnote>
  <w:footnote w:id="9">
    <w:p>
      <w:pPr>
        <w:pStyle w:val="FootnoteText"/>
        <w:spacing w:before="0" w:after="120"/>
        <w:rPr/>
      </w:pPr>
      <w:r>
        <w:rPr>
          <w:rStyle w:val="FootnoteCharacters"/>
        </w:rPr>
        <w:footnoteRef/>
      </w:r>
      <w:r>
        <w:rPr>
          <w:rFonts w:cs="Arial" w:ascii="Arial" w:hAnsi="Arial"/>
          <w:sz w:val="20"/>
        </w:rPr>
        <w:t xml:space="preserve"> </w:t>
      </w:r>
      <w:r>
        <w:rPr>
          <w:rFonts w:cs="Arial" w:ascii="Arial" w:hAnsi="Arial"/>
          <w:i/>
          <w:sz w:val="20"/>
        </w:rPr>
        <w:t>Id.</w:t>
      </w:r>
    </w:p>
  </w:footnote>
  <w:footnote w:id="10">
    <w:p>
      <w:pPr>
        <w:pStyle w:val="FootnoteText"/>
        <w:spacing w:before="0" w:after="120"/>
        <w:rPr/>
      </w:pPr>
      <w:r>
        <w:rPr>
          <w:rStyle w:val="FootnoteCharacters"/>
        </w:rPr>
        <w:footnoteRef/>
      </w:r>
      <w:r>
        <w:rPr>
          <w:rFonts w:cs="Arial" w:ascii="Arial" w:hAnsi="Arial"/>
          <w:sz w:val="20"/>
        </w:rPr>
        <w:t xml:space="preserve"> </w:t>
      </w:r>
      <w:r>
        <w:rPr>
          <w:rFonts w:cs="Arial" w:ascii="Arial" w:hAnsi="Arial"/>
          <w:sz w:val="20"/>
        </w:rPr>
        <w:t xml:space="preserve">Motion to Intervene and Response of the Interstate Natural Gas Association of America to Petition of the American Gas Association filed in Docket Nos. RM98-10 and RM98-12, April 16, 2001  </w:t>
      </w:r>
    </w:p>
  </w:footnote>
  <w:footnote w:id="11">
    <w:p>
      <w:pPr>
        <w:pStyle w:val="FootnoteText"/>
        <w:spacing w:before="0" w:after="120"/>
        <w:rPr/>
      </w:pPr>
      <w:r>
        <w:rPr>
          <w:rStyle w:val="FootnoteCharacters"/>
        </w:rPr>
        <w:footnoteRef/>
      </w:r>
      <w:r>
        <w:rPr>
          <w:rFonts w:cs="Arial" w:ascii="Arial" w:hAnsi="Arial"/>
          <w:sz w:val="20"/>
        </w:rPr>
        <w:t xml:space="preserve"> </w:t>
      </w:r>
      <w:r>
        <w:rPr>
          <w:rFonts w:cs="Arial" w:ascii="Arial" w:hAnsi="Arial"/>
          <w:sz w:val="20"/>
        </w:rPr>
        <w:t>Answer of Duke Energy Gas Transmission To American Gas Association Reply to February 1, 2001 Gas Industry Standards Board Report, filed in Docket Nos. RM98-10 and RM98-12, April 16, 2001.</w:t>
      </w:r>
    </w:p>
  </w:footnote>
  <w:footnote w:id="12">
    <w:p>
      <w:pPr>
        <w:pStyle w:val="FootnoteText"/>
        <w:spacing w:before="0" w:after="120"/>
        <w:rPr/>
      </w:pPr>
      <w:r>
        <w:rPr>
          <w:rStyle w:val="FootnoteCharacters"/>
        </w:rPr>
        <w:footnoteRef/>
      </w:r>
      <w:r>
        <w:rPr>
          <w:rFonts w:cs="Arial" w:ascii="Arial" w:hAnsi="Arial"/>
          <w:sz w:val="20"/>
        </w:rPr>
        <w:t xml:space="preserve"> </w:t>
      </w:r>
      <w:r>
        <w:rPr>
          <w:rFonts w:cs="Arial" w:ascii="Arial" w:hAnsi="Arial"/>
          <w:sz w:val="20"/>
        </w:rPr>
        <w:t>Need to cite GISB standards.</w:t>
      </w:r>
    </w:p>
  </w:footnote>
  <w:footnote w:id="13">
    <w:p>
      <w:pPr>
        <w:pStyle w:val="FootnoteText"/>
        <w:spacing w:before="0" w:after="120"/>
        <w:rPr/>
      </w:pPr>
      <w:r>
        <w:rPr>
          <w:rStyle w:val="FootnoteCharacters"/>
        </w:rPr>
        <w:footnoteRef/>
      </w:r>
      <w:r>
        <w:rPr>
          <w:rFonts w:cs="Arial" w:ascii="Arial" w:hAnsi="Arial"/>
          <w:sz w:val="20"/>
        </w:rPr>
        <w:t xml:space="preserve"> </w:t>
      </w:r>
      <w:r>
        <w:rPr>
          <w:rFonts w:cs="Arial" w:ascii="Arial" w:hAnsi="Arial"/>
          <w:sz w:val="20"/>
        </w:rPr>
        <w:t>Cite to Order No. 637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0"/>
        </w:tabs>
        <w:ind w:start="0" w:hanging="0"/>
      </w:pPr>
      <w:rPr>
        <w:rFonts w:ascii="Symbol" w:hAnsi="Symbol" w:cs="Symbol" w:hint="default"/>
        <w:color w:val="auto"/>
      </w:rPr>
    </w:lvl>
  </w:abstractNum>
  <w:abstractNum w:abstractNumId="3">
    <w:lvl w:ilvl="0">
      <w:start w:val="1"/>
      <w:numFmt w:val="bullet"/>
      <w:lvlText w:val=""/>
      <w:lvlJc w:val="start"/>
      <w:pPr>
        <w:tabs>
          <w:tab w:val="num" w:pos="0"/>
        </w:tabs>
        <w:ind w:start="0" w:hanging="0"/>
      </w:pPr>
      <w:rPr>
        <w:rFonts w:ascii="Symbol" w:hAnsi="Symbol" w:cs="Symbol" w:hint="default"/>
        <w:color w:val="auto"/>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2160"/>
        </w:tabs>
        <w:ind w:start="2160" w:hanging="576"/>
      </w:pPr>
      <w:rPr>
        <w:rFonts w:ascii="Symbol" w:hAnsi="Symbol" w:cs="Symbol" w:hint="default"/>
      </w:rPr>
    </w:lvl>
  </w:abstractNum>
  <w:abstractNum w:abstractNumId="6">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noLeading/>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Bell MT" w:hAnsi="Galliard;Bell MT" w:eastAsia="Times New Roman" w:cs="Galliard;Bell MT"/>
      <w:color w:val="auto"/>
      <w:sz w:val="24"/>
      <w:szCs w:val="20"/>
      <w:lang w:val="en-US" w:bidi="ar-SA" w:eastAsia="zh-C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sz w:val="18"/>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asetoc">
    <w:name w:val="base toc"/>
    <w:basedOn w:val="Normal"/>
    <w:qFormat/>
    <w:pPr>
      <w:tabs>
        <w:tab w:val="clear" w:pos="720"/>
        <w:tab w:val="right" w:pos="9360" w:leader="dot"/>
      </w:tabs>
      <w:spacing w:before="240" w:after="0"/>
      <w:ind w:hanging="720" w:start="720" w:end="1440"/>
    </w:pPr>
    <w:rPr/>
  </w:style>
  <w:style w:type="paragraph" w:styleId="TOC6">
    <w:name w:val="toc 6"/>
    <w:basedOn w:val="basetoc"/>
    <w:next w:val="Normal"/>
    <w:pPr>
      <w:ind w:hanging="720" w:start="4320" w:end="1440"/>
    </w:pPr>
    <w:rPr/>
  </w:style>
  <w:style w:type="paragraph" w:styleId="TOC5">
    <w:name w:val="toc 5"/>
    <w:basedOn w:val="basetoc"/>
    <w:next w:val="Normal"/>
    <w:pPr>
      <w:ind w:hanging="720" w:start="3600" w:end="1440"/>
    </w:pPr>
    <w:rPr/>
  </w:style>
  <w:style w:type="paragraph" w:styleId="TOC4">
    <w:name w:val="toc 4"/>
    <w:basedOn w:val="basetoc"/>
    <w:next w:val="Normal"/>
    <w:pPr>
      <w:ind w:hanging="720" w:start="2880" w:end="1440"/>
    </w:pPr>
    <w:rPr/>
  </w:style>
  <w:style w:type="paragraph" w:styleId="TOC3">
    <w:name w:val="toc 3"/>
    <w:basedOn w:val="basetoc"/>
    <w:next w:val="Normal"/>
    <w:pPr>
      <w:ind w:hanging="720" w:start="2160" w:end="1440"/>
    </w:pPr>
    <w:rPr/>
  </w:style>
  <w:style w:type="paragraph" w:styleId="TOC2">
    <w:name w:val="toc 2"/>
    <w:basedOn w:val="basetoc"/>
    <w:next w:val="Normal"/>
    <w:pPr>
      <w:ind w:hanging="720" w:start="1440" w:end="1440"/>
    </w:pPr>
    <w:rPr/>
  </w:style>
  <w:style w:type="paragraph" w:styleId="TOC1">
    <w:name w:val="toc 1"/>
    <w:basedOn w:val="basetoc"/>
    <w:next w:val="Normal"/>
    <w:pPr/>
    <w:rPr>
      <w:caps/>
    </w:rPr>
  </w:style>
  <w:style w:type="paragraph" w:styleId="Index1">
    <w:name w:val="index 1"/>
    <w:basedOn w:val="basetoc"/>
    <w:next w:val="Normal"/>
    <w:pPr/>
    <w:rPr/>
  </w:style>
  <w:style w:type="paragraph" w:styleId="FootnoteText">
    <w:name w:val="footnote text"/>
    <w:basedOn w:val="Normal"/>
    <w:pPr>
      <w:spacing w:before="0" w:after="120"/>
    </w:pPr>
    <w:rPr/>
  </w:style>
  <w:style w:type="paragraph" w:styleId="TOC9">
    <w:name w:val="toc 9"/>
    <w:basedOn w:val="basetoc"/>
    <w:next w:val="Normal"/>
    <w:pPr/>
    <w:rPr>
      <w:caps/>
    </w:rPr>
  </w:style>
  <w:style w:type="paragraph" w:styleId="footnoteindent">
    <w:name w:val="footnote indent"/>
    <w:basedOn w:val="FootnoteText"/>
    <w:next w:val="FootnoteText"/>
    <w:qFormat/>
    <w:pPr>
      <w:tabs>
        <w:tab w:val="clear" w:pos="720"/>
      </w:tabs>
      <w:ind w:hanging="0" w:start="720" w:end="720"/>
    </w:pPr>
    <w:rPr/>
  </w:style>
  <w:style w:type="paragraph" w:styleId="footnote-indenthang">
    <w:name w:val="footnote - indent hang"/>
    <w:basedOn w:val="footnoteindent"/>
    <w:qFormat/>
    <w:pPr>
      <w:ind w:hanging="360" w:start="1080" w:end="720"/>
    </w:pPr>
    <w:rPr/>
  </w:style>
  <w:style w:type="paragraph" w:styleId="baseheading">
    <w:name w:val="base heading"/>
    <w:basedOn w:val="Normal"/>
    <w:qFormat/>
    <w:pPr>
      <w:keepNext w:val="true"/>
      <w:keepLines/>
      <w:tabs>
        <w:tab w:val="clear" w:pos="720"/>
        <w:tab w:val="left" w:pos="8640" w:leader="none"/>
      </w:tabs>
      <w:spacing w:before="360" w:after="0"/>
      <w:ind w:hanging="0" w:start="0" w:end="720"/>
    </w:pPr>
    <w:rPr>
      <w:b/>
    </w:rPr>
  </w:style>
  <w:style w:type="paragraph" w:styleId="bodytext1">
    <w:name w:val="body text1"/>
    <w:basedOn w:val="Normal"/>
    <w:qFormat/>
    <w:pPr>
      <w:spacing w:lineRule="atLeast" w:line="480"/>
      <w:ind w:firstLine="720" w:start="0" w:end="0"/>
    </w:pPr>
    <w:rPr/>
  </w:style>
  <w:style w:type="paragraph" w:styleId="bodytext-left">
    <w:name w:val="body text - left"/>
    <w:basedOn w:val="bodytext1"/>
    <w:next w:val="bodytext1"/>
    <w:qFormat/>
    <w:pPr>
      <w:ind w:hanging="0" w:start="0" w:end="0"/>
    </w:pPr>
    <w:rPr/>
  </w:style>
  <w:style w:type="paragraph" w:styleId="centeredheading">
    <w:name w:val="centered heading"/>
    <w:basedOn w:val="Normal"/>
    <w:next w:val="bodytext1"/>
    <w:qFormat/>
    <w:pPr>
      <w:jc w:val="center"/>
    </w:pPr>
    <w:rPr>
      <w:caps/>
    </w:rPr>
  </w:style>
  <w:style w:type="paragraph" w:styleId="indent">
    <w:name w:val="indent"/>
    <w:basedOn w:val="bodytext1"/>
    <w:next w:val="bodytext-left"/>
    <w:qFormat/>
    <w:pPr>
      <w:spacing w:lineRule="auto" w:line="240" w:before="240" w:after="0"/>
      <w:ind w:hanging="0" w:start="720" w:end="720"/>
    </w:pPr>
    <w:rPr/>
  </w:style>
  <w:style w:type="paragraph" w:styleId="indent-hang">
    <w:name w:val="indent - hang"/>
    <w:basedOn w:val="indent"/>
    <w:qFormat/>
    <w:pPr>
      <w:ind w:hanging="720" w:start="1440" w:end="720"/>
    </w:pPr>
    <w:rPr/>
  </w:style>
  <w:style w:type="paragraph" w:styleId="TOAHeading">
    <w:name w:val="TOA Heading"/>
    <w:basedOn w:val="Normal"/>
    <w:next w:val="TableofAuthorities"/>
    <w:qFormat/>
    <w:pPr>
      <w:spacing w:before="240" w:after="0"/>
      <w:jc w:val="center"/>
    </w:pPr>
    <w:rPr>
      <w:caps/>
    </w:rPr>
  </w:style>
  <w:style w:type="paragraph" w:styleId="TOATitle">
    <w:name w:val="TOA Title"/>
    <w:basedOn w:val="centeredheading"/>
    <w:next w:val="TOAHeading"/>
    <w:qFormat/>
    <w:pPr>
      <w:spacing w:before="0" w:after="120"/>
    </w:pPr>
    <w:rPr/>
  </w:style>
  <w:style w:type="paragraph" w:styleId="TableofAuthorities">
    <w:name w:val="Table of Authorities"/>
    <w:basedOn w:val="basetoc"/>
    <w:qFormat/>
    <w:pPr/>
    <w:rPr/>
  </w:style>
  <w:style w:type="paragraph" w:styleId="TOCTitle">
    <w:name w:val="TOC Title"/>
    <w:basedOn w:val="centeredheading"/>
    <w:qFormat/>
    <w:pPr>
      <w:spacing w:before="0" w:after="240"/>
    </w:pPr>
    <w:rPr/>
  </w:style>
  <w:style w:type="paragraph" w:styleId="leftheading">
    <w:name w:val="left heading"/>
    <w:basedOn w:val="Normal"/>
    <w:next w:val="bodytext1"/>
    <w:qFormat/>
    <w:pPr>
      <w:tabs>
        <w:tab w:val="clear" w:pos="720"/>
        <w:tab w:val="lef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tabs>
        <w:tab w:val="clear" w:pos="720"/>
        <w:tab w:val="left" w:pos="360" w:leader="none"/>
      </w:tabs>
      <w:spacing w:before="0" w:after="200"/>
    </w:pPr>
    <w:rPr>
      <w:sz w:val="20"/>
    </w:rPr>
  </w:style>
  <w:style w:type="paragraph" w:styleId="endnoteindent">
    <w:name w:val="endnote indent"/>
    <w:basedOn w:val="EndnoteText"/>
    <w:next w:val="EndnoteText"/>
    <w:qFormat/>
    <w:pPr>
      <w:tabs>
        <w:tab w:val="clear" w:pos="360"/>
      </w:tabs>
      <w:ind w:hanging="0" w:start="720" w:end="720"/>
    </w:pPr>
    <w:rPr/>
  </w:style>
  <w:style w:type="paragraph" w:styleId="endnote-indenthang">
    <w:name w:val="endnote - indent hang"/>
    <w:basedOn w:val="endnoteindent"/>
    <w:qFormat/>
    <w:pPr>
      <w:ind w:hanging="360" w:start="1080" w:end="720"/>
    </w:pPr>
    <w:rPr/>
  </w:style>
  <w:style w:type="paragraph" w:styleId="bodytext-bullet">
    <w:name w:val="body text - bullet"/>
    <w:basedOn w:val="bodytext1"/>
    <w:qFormat/>
    <w:pPr>
      <w:numPr>
        <w:ilvl w:val="0"/>
        <w:numId w:val="2"/>
      </w:numPr>
      <w:tabs>
        <w:tab w:val="clear" w:pos="720"/>
        <w:tab w:val="left" w:pos="1440" w:leader="none"/>
      </w:tabs>
      <w:ind w:firstLine="720" w:start="0" w:end="0"/>
    </w:pPr>
    <w:rPr>
      <w:rFonts w:ascii="Times New Roman" w:hAnsi="Times New Roman" w:cs="Times New Roman"/>
    </w:rPr>
  </w:style>
  <w:style w:type="paragraph" w:styleId="bodytext-number">
    <w:name w:val="body text - number"/>
    <w:basedOn w:val="bodytext1"/>
    <w:qFormat/>
    <w:pPr>
      <w:numPr>
        <w:ilvl w:val="0"/>
        <w:numId w:val="4"/>
      </w:numPr>
      <w:tabs>
        <w:tab w:val="clear" w:pos="720"/>
        <w:tab w:val="left" w:pos="1440" w:leader="none"/>
      </w:tabs>
      <w:ind w:firstLine="720" w:start="0" w:end="0"/>
    </w:pPr>
    <w:rPr>
      <w:rFonts w:ascii="Times New Roman" w:hAnsi="Times New Roman" w:cs="Times New Roman"/>
    </w:rPr>
  </w:style>
  <w:style w:type="paragraph" w:styleId="bodytext-indent">
    <w:name w:val="body text - indent"/>
    <w:basedOn w:val="bodytext1"/>
    <w:qFormat/>
    <w:pPr>
      <w:ind w:firstLine="1440" w:start="0" w:end="0"/>
    </w:pPr>
    <w:rPr>
      <w:rFonts w:ascii="Times New Roman" w:hAnsi="Times New Roman" w:cs="Times New Roman"/>
    </w:rPr>
  </w:style>
  <w:style w:type="paragraph" w:styleId="indent-bullet">
    <w:name w:val="indent - bullet"/>
    <w:basedOn w:val="indent-hang"/>
    <w:qFormat/>
    <w:pPr>
      <w:numPr>
        <w:ilvl w:val="0"/>
        <w:numId w:val="3"/>
      </w:numPr>
      <w:tabs>
        <w:tab w:val="left" w:pos="720" w:leader="none"/>
      </w:tabs>
      <w:ind w:hanging="720" w:start="720" w:end="720"/>
    </w:pPr>
    <w:rPr>
      <w:rFonts w:ascii="Times New Roman" w:hAnsi="Times New Roman" w:cs="Times New Roman"/>
    </w:rPr>
  </w:style>
  <w:style w:type="paragraph" w:styleId="Logo">
    <w:name w:val="Logo"/>
    <w:basedOn w:val="Normal"/>
    <w:qFormat/>
    <w:pPr/>
    <w:rPr/>
  </w:style>
  <w:style w:type="paragraph" w:styleId="Style11">
    <w:name w:val="Style1"/>
    <w:basedOn w:val="Normal"/>
    <w:qFormat/>
    <w:pPr/>
    <w:rPr>
      <w:rFonts w:ascii="Arial" w:hAnsi="Arial" w:cs="Arial"/>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5"/>
      </w:numPr>
      <w:spacing w:before="260" w:after="0"/>
      <w:ind w:hanging="0" w:start="0" w:end="1080"/>
    </w:pPr>
    <w:rPr/>
  </w:style>
  <w:style w:type="paragraph" w:styleId="Bullet-Small">
    <w:name w:val="Bullet-Small"/>
    <w:basedOn w:val="Normal"/>
    <w:qFormat/>
    <w:pPr>
      <w:numPr>
        <w:ilvl w:val="0"/>
        <w:numId w:val="6"/>
      </w:numPr>
      <w:spacing w:before="260" w:after="0"/>
      <w:ind w:hanging="0" w:start="0" w:end="1080"/>
    </w:pPr>
    <w:rPr/>
  </w:style>
  <w:style w:type="paragraph" w:styleId="Center">
    <w:name w:val="Center"/>
    <w:basedOn w:val="Normal"/>
    <w:qFormat/>
    <w:pPr>
      <w:spacing w:before="260" w:after="0"/>
      <w:jc w:val="cente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2001-11-09T19:18:00Z</dcterms:created>
  <dc:creator>H&amp;S</dc:creator>
  <dc:description/>
  <dc:language>en-CA</dc:language>
  <cp:lastModifiedBy>Michael Reddy</cp:lastModifiedBy>
  <cp:lastPrinted>2001-11-09T17:53:00Z</cp:lastPrinted>
  <dcterms:modified xsi:type="dcterms:W3CDTF">2001-11-09T20:28:00Z</dcterms:modified>
  <cp:revision>3</cp:revision>
  <dc:subject/>
  <dc:title>EPSA comments day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T@YJ01!.DOC</vt:lpwstr>
  </property>
  <property fmtid="{D5CDD505-2E9C-101B-9397-08002B2CF9AE}" pid="3" name="DOCSDocVer">
    <vt:lpwstr>1</vt:lpwstr>
  </property>
  <property fmtid="{D5CDD505-2E9C-101B-9397-08002B2CF9AE}" pid="4" name="DOCSNumber">
    <vt:lpwstr>1367227</vt:lpwstr>
  </property>
</Properties>
</file>