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120"/>
        <w:rPr/>
      </w:pPr>
      <w:r>
        <w:rPr/>
      </w:r>
    </w:p>
    <w:tbl>
      <w:tblPr>
        <w:tblW w:w="10998" w:type="dxa"/>
        <w:jc w:val="start"/>
        <w:tblInd w:w="0" w:type="dxa"/>
        <w:tblLayout w:type="fixed"/>
        <w:tblCellMar>
          <w:top w:w="0" w:type="dxa"/>
          <w:start w:w="108" w:type="dxa"/>
          <w:bottom w:w="0" w:type="dxa"/>
          <w:end w:w="108" w:type="dxa"/>
        </w:tblCellMar>
      </w:tblPr>
      <w:tblGrid>
        <w:gridCol w:w="1458"/>
        <w:gridCol w:w="239"/>
        <w:gridCol w:w="9301"/>
      </w:tblGrid>
      <w:tr>
        <w:trPr/>
        <w:tc>
          <w:tcPr>
            <w:tcW w:w="1458" w:type="dxa"/>
            <w:tcBorders/>
          </w:tcPr>
          <w:p>
            <w:pPr>
              <w:pStyle w:val="Normal"/>
              <w:rPr>
                <w:b/>
                <w:i/>
                <w:i/>
                <w:sz w:val="22"/>
              </w:rPr>
            </w:pPr>
            <w:r>
              <w:rPr>
                <w:b/>
                <w:i/>
                <w:sz w:val="22"/>
              </w:rPr>
              <w:t>Objective:</w:t>
            </w:r>
          </w:p>
        </w:tc>
        <w:tc>
          <w:tcPr>
            <w:tcW w:w="239" w:type="dxa"/>
            <w:tcBorders/>
          </w:tcPr>
          <w:p>
            <w:pPr>
              <w:pStyle w:val="Normal"/>
              <w:snapToGrid w:val="false"/>
              <w:rPr>
                <w:b/>
                <w:i/>
                <w:i/>
                <w:sz w:val="22"/>
              </w:rPr>
            </w:pPr>
            <w:r>
              <w:rPr>
                <w:b/>
                <w:i/>
                <w:sz w:val="22"/>
              </w:rPr>
            </w:r>
          </w:p>
        </w:tc>
        <w:tc>
          <w:tcPr>
            <w:tcW w:w="9301" w:type="dxa"/>
            <w:tcBorders/>
          </w:tcPr>
          <w:p>
            <w:pPr>
              <w:pStyle w:val="Normal"/>
              <w:rPr>
                <w:spacing w:val="-2"/>
              </w:rPr>
            </w:pPr>
            <w:r>
              <w:rPr>
                <w:spacing w:val="-2"/>
              </w:rPr>
              <w:t>To obtain a position with a company that encourages excellence and job satisfaction, provides opportunities for professional development, while ensuring that my contributions are compatible with the objectives of this employer.</w:t>
            </w:r>
          </w:p>
          <w:p>
            <w:pPr>
              <w:pStyle w:val="Normal"/>
              <w:spacing w:lineRule="exact" w:line="120"/>
              <w:rPr>
                <w:spacing w:val="-2"/>
              </w:rPr>
            </w:pPr>
            <w:r>
              <w:rPr>
                <w:spacing w:val="-2"/>
              </w:rPr>
            </w:r>
          </w:p>
        </w:tc>
      </w:tr>
      <w:tr>
        <w:trPr/>
        <w:tc>
          <w:tcPr>
            <w:tcW w:w="1458" w:type="dxa"/>
            <w:tcBorders/>
          </w:tcPr>
          <w:p>
            <w:pPr>
              <w:pStyle w:val="Normal"/>
              <w:rPr>
                <w:b/>
                <w:i/>
                <w:i/>
                <w:sz w:val="22"/>
              </w:rPr>
            </w:pPr>
            <w:r>
              <w:rPr>
                <w:b/>
                <w:i/>
                <w:sz w:val="22"/>
              </w:rPr>
              <w:t>Education:</w:t>
            </w:r>
          </w:p>
        </w:tc>
        <w:tc>
          <w:tcPr>
            <w:tcW w:w="239" w:type="dxa"/>
            <w:tcBorders/>
          </w:tcPr>
          <w:p>
            <w:pPr>
              <w:pStyle w:val="Normal"/>
              <w:snapToGrid w:val="false"/>
              <w:rPr>
                <w:b/>
                <w:i/>
                <w:i/>
                <w:sz w:val="22"/>
              </w:rPr>
            </w:pPr>
            <w:r>
              <w:rPr>
                <w:b/>
                <w:i/>
                <w:sz w:val="22"/>
              </w:rPr>
            </w:r>
          </w:p>
        </w:tc>
        <w:tc>
          <w:tcPr>
            <w:tcW w:w="9301" w:type="dxa"/>
            <w:tcBorders/>
          </w:tcPr>
          <w:p>
            <w:pPr>
              <w:pStyle w:val="Normal"/>
              <w:tabs>
                <w:tab w:val="left" w:pos="0" w:leader="none"/>
                <w:tab w:val="left" w:pos="720" w:leader="none"/>
                <w:tab w:val="left" w:pos="129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1176" w:leader="none"/>
              </w:tabs>
              <w:suppressAutoHyphens w:val="true"/>
              <w:ind w:hanging="1296" w:start="1296" w:end="0"/>
              <w:jc w:val="both"/>
              <w:rPr>
                <w:rFonts w:ascii="CG Times;Times New Roman" w:hAnsi="CG Times;Times New Roman" w:cs="CG Times;Times New Roman"/>
                <w:spacing w:val="-2"/>
              </w:rPr>
            </w:pPr>
            <w:r>
              <w:rPr>
                <w:rFonts w:cs="CG Times;Times New Roman" w:ascii="CG Times;Times New Roman" w:hAnsi="CG Times;Times New Roman"/>
                <w:spacing w:val="-2"/>
              </w:rPr>
              <w:t xml:space="preserve">HOWARD UNIVERSITY, Graduate School of Arts and Sciences, Washington D.C., </w:t>
            </w:r>
          </w:p>
          <w:p>
            <w:pPr>
              <w:pStyle w:val="Normal"/>
              <w:tabs>
                <w:tab w:val="left" w:pos="0" w:leader="none"/>
                <w:tab w:val="left" w:pos="720" w:leader="none"/>
                <w:tab w:val="left" w:pos="129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1176" w:leader="none"/>
              </w:tabs>
              <w:suppressAutoHyphens w:val="true"/>
              <w:ind w:hanging="1296" w:start="1296" w:end="0"/>
              <w:jc w:val="both"/>
              <w:rPr>
                <w:rFonts w:ascii="CG Times;Times New Roman" w:hAnsi="CG Times;Times New Roman" w:cs="CG Times;Times New Roman"/>
                <w:spacing w:val="-2"/>
              </w:rPr>
            </w:pPr>
            <w:r>
              <w:rPr>
                <w:rFonts w:cs="CG Times;Times New Roman" w:ascii="CG Times;Times New Roman" w:hAnsi="CG Times;Times New Roman"/>
                <w:spacing w:val="-2"/>
              </w:rPr>
              <w:t>Department of Electrical Engineering (Power Systems Engineering),</w:t>
            </w:r>
          </w:p>
          <w:p>
            <w:pPr>
              <w:pStyle w:val="Normal"/>
              <w:rPr>
                <w:rFonts w:ascii="CG Times;Times New Roman" w:hAnsi="CG Times;Times New Roman" w:cs="CG Times;Times New Roman"/>
                <w:spacing w:val="-2"/>
              </w:rPr>
            </w:pPr>
            <w:r>
              <w:rPr>
                <w:rFonts w:cs="CG Times;Times New Roman" w:ascii="CG Times;Times New Roman" w:hAnsi="CG Times;Times New Roman"/>
                <w:b/>
                <w:spacing w:val="-2"/>
              </w:rPr>
              <w:t>Masters of Science, Electrical Engineering (M.S.E.E.) - May, 1994.</w:t>
            </w:r>
          </w:p>
          <w:p>
            <w:pPr>
              <w:pStyle w:val="Normal"/>
              <w:spacing w:lineRule="exact" w:line="120"/>
              <w:rPr>
                <w:rFonts w:ascii="CG Times;Times New Roman" w:hAnsi="CG Times;Times New Roman" w:cs="CG Times;Times New Roman"/>
                <w:b/>
                <w:spacing w:val="-2"/>
              </w:rPr>
            </w:pPr>
            <w:r>
              <w:rPr>
                <w:rFonts w:cs="CG Times;Times New Roman" w:ascii="CG Times;Times New Roman" w:hAnsi="CG Times;Times New Roman"/>
                <w:b/>
                <w:spacing w:val="-2"/>
              </w:rPr>
            </w:r>
          </w:p>
          <w:p>
            <w:pPr>
              <w:pStyle w:val="Normal"/>
              <w:tabs>
                <w:tab w:val="clear" w:pos="720"/>
                <w:tab w:val="left" w:pos="1096" w:leader="none"/>
              </w:tabs>
              <w:rPr/>
            </w:pPr>
            <w:r>
              <w:rPr>
                <w:rFonts w:cs="CG Times;Times New Roman" w:ascii="CG Times;Times New Roman" w:hAnsi="CG Times;Times New Roman"/>
                <w:b/>
                <w:spacing w:val="-2"/>
              </w:rPr>
              <w:t>Thesis Title:</w:t>
              <w:tab/>
            </w:r>
            <w:r>
              <w:rPr>
                <w:rFonts w:cs="CG Times;Times New Roman" w:ascii="CG Times;Times New Roman" w:hAnsi="CG Times;Times New Roman"/>
                <w:spacing w:val="-2"/>
              </w:rPr>
              <w:t>"An Efficient Interior-Point Optimal Power Flow Technique for Solving Partitioned Power Systems.”</w:t>
            </w:r>
          </w:p>
          <w:p>
            <w:pPr>
              <w:pStyle w:val="Normal"/>
              <w:tabs>
                <w:tab w:val="left" w:pos="0" w:leader="none"/>
                <w:tab w:val="left" w:pos="720" w:leader="none"/>
                <w:tab w:val="left" w:pos="129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1176" w:leader="none"/>
              </w:tabs>
              <w:suppressAutoHyphens w:val="true"/>
              <w:spacing w:lineRule="exact" w:line="120"/>
              <w:ind w:hanging="1296" w:start="1296" w:end="0"/>
              <w:jc w:val="both"/>
              <w:rPr>
                <w:rFonts w:ascii="CG Times;Times New Roman" w:hAnsi="CG Times;Times New Roman" w:cs="CG Times;Times New Roman"/>
                <w:b/>
                <w:spacing w:val="-2"/>
              </w:rPr>
            </w:pPr>
            <w:r>
              <w:rPr>
                <w:rFonts w:cs="CG Times;Times New Roman" w:ascii="CG Times;Times New Roman" w:hAnsi="CG Times;Times New Roman"/>
                <w:b/>
                <w:spacing w:val="-2"/>
              </w:rPr>
            </w:r>
          </w:p>
          <w:p>
            <w:pPr>
              <w:pStyle w:val="Normal"/>
              <w:tabs>
                <w:tab w:val="left" w:pos="0" w:leader="none"/>
                <w:tab w:val="left" w:pos="720" w:leader="none"/>
                <w:tab w:val="left" w:pos="129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1176" w:leader="none"/>
              </w:tabs>
              <w:suppressAutoHyphens w:val="true"/>
              <w:ind w:hanging="1296" w:start="1296" w:end="0"/>
              <w:jc w:val="both"/>
              <w:rPr>
                <w:rFonts w:ascii="CG Times;Times New Roman" w:hAnsi="CG Times;Times New Roman" w:cs="CG Times;Times New Roman"/>
                <w:spacing w:val="-2"/>
              </w:rPr>
            </w:pPr>
            <w:r>
              <w:rPr>
                <w:rFonts w:cs="CG Times;Times New Roman" w:ascii="CG Times;Times New Roman" w:hAnsi="CG Times;Times New Roman"/>
                <w:spacing w:val="-2"/>
              </w:rPr>
              <w:t>HOWARD UNIVERSITY, Department of Electrical Engineering, Washington D.C.,</w:t>
            </w:r>
          </w:p>
          <w:p>
            <w:pPr>
              <w:pStyle w:val="Normal"/>
              <w:tabs>
                <w:tab w:val="left" w:pos="0" w:leader="none"/>
                <w:tab w:val="left" w:pos="720" w:leader="none"/>
                <w:tab w:val="left" w:pos="129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1176" w:leader="none"/>
              </w:tabs>
              <w:suppressAutoHyphens w:val="true"/>
              <w:ind w:hanging="1296" w:start="1296" w:end="0"/>
              <w:jc w:val="both"/>
              <w:rPr>
                <w:rFonts w:ascii="CG Times;Times New Roman" w:hAnsi="CG Times;Times New Roman" w:cs="CG Times;Times New Roman"/>
                <w:b/>
                <w:spacing w:val="-2"/>
              </w:rPr>
            </w:pPr>
            <w:r>
              <w:rPr>
                <w:rFonts w:cs="CG Times;Times New Roman" w:ascii="CG Times;Times New Roman" w:hAnsi="CG Times;Times New Roman"/>
                <w:b/>
                <w:spacing w:val="-2"/>
              </w:rPr>
              <w:t>Bachelor of Science, Electrical Engineering (B.S.E.E.) - May, 1991.</w:t>
            </w:r>
          </w:p>
          <w:p>
            <w:pPr>
              <w:pStyle w:val="Normal"/>
              <w:spacing w:lineRule="exact" w:line="120"/>
              <w:rPr>
                <w:rFonts w:ascii="CG Times;Times New Roman" w:hAnsi="CG Times;Times New Roman" w:cs="CG Times;Times New Roman"/>
                <w:b/>
                <w:spacing w:val="-2"/>
              </w:rPr>
            </w:pPr>
            <w:r>
              <w:rPr>
                <w:rFonts w:cs="CG Times;Times New Roman" w:ascii="CG Times;Times New Roman" w:hAnsi="CG Times;Times New Roman"/>
                <w:b/>
                <w:spacing w:val="-2"/>
              </w:rPr>
            </w:r>
          </w:p>
        </w:tc>
      </w:tr>
      <w:tr>
        <w:trPr/>
        <w:tc>
          <w:tcPr>
            <w:tcW w:w="1458" w:type="dxa"/>
            <w:tcBorders/>
          </w:tcPr>
          <w:p>
            <w:pPr>
              <w:pStyle w:val="Normal"/>
              <w:rPr>
                <w:b/>
                <w:i/>
                <w:i/>
                <w:sz w:val="22"/>
              </w:rPr>
            </w:pPr>
            <w:r>
              <w:rPr>
                <w:b/>
                <w:i/>
                <w:sz w:val="22"/>
              </w:rPr>
              <w:t>Certification:</w:t>
            </w:r>
          </w:p>
          <w:p>
            <w:pPr>
              <w:pStyle w:val="Normal"/>
              <w:rPr>
                <w:b/>
                <w:i/>
                <w:i/>
                <w:sz w:val="22"/>
              </w:rPr>
            </w:pPr>
            <w:r>
              <w:rPr>
                <w:b/>
                <w:i/>
                <w:sz w:val="22"/>
              </w:rPr>
            </w:r>
          </w:p>
        </w:tc>
        <w:tc>
          <w:tcPr>
            <w:tcW w:w="239" w:type="dxa"/>
            <w:tcBorders/>
          </w:tcPr>
          <w:p>
            <w:pPr>
              <w:pStyle w:val="Normal"/>
              <w:snapToGrid w:val="false"/>
              <w:rPr>
                <w:b/>
                <w:i/>
                <w:i/>
                <w:sz w:val="22"/>
              </w:rPr>
            </w:pPr>
            <w:r>
              <w:rPr>
                <w:b/>
                <w:i/>
                <w:sz w:val="22"/>
              </w:rPr>
            </w:r>
          </w:p>
        </w:tc>
        <w:tc>
          <w:tcPr>
            <w:tcW w:w="9301" w:type="dxa"/>
            <w:tcBorders/>
          </w:tcPr>
          <w:p>
            <w:pPr>
              <w:pStyle w:val="Header"/>
              <w:tabs>
                <w:tab w:val="clear" w:pos="4320"/>
                <w:tab w:val="clear" w:pos="8640"/>
              </w:tabs>
              <w:spacing w:lineRule="exact" w:line="240"/>
              <w:rPr/>
            </w:pPr>
            <w:r>
              <w:rPr/>
              <w:t>NERC Certified Operator  – Through 2004.</w:t>
            </w:r>
          </w:p>
        </w:tc>
      </w:tr>
      <w:tr>
        <w:trPr/>
        <w:tc>
          <w:tcPr>
            <w:tcW w:w="1458" w:type="dxa"/>
            <w:tcBorders/>
          </w:tcPr>
          <w:p>
            <w:pPr>
              <w:pStyle w:val="Normal"/>
              <w:rPr>
                <w:b/>
                <w:i/>
                <w:i/>
                <w:sz w:val="22"/>
              </w:rPr>
            </w:pPr>
            <w:r>
              <w:rPr>
                <w:b/>
                <w:i/>
                <w:sz w:val="22"/>
              </w:rPr>
              <w:t>Research</w:t>
            </w:r>
          </w:p>
          <w:p>
            <w:pPr>
              <w:pStyle w:val="Normal"/>
              <w:rPr>
                <w:b/>
                <w:i/>
                <w:i/>
                <w:sz w:val="22"/>
              </w:rPr>
            </w:pPr>
            <w:r>
              <w:rPr>
                <w:b/>
                <w:i/>
                <w:sz w:val="22"/>
              </w:rPr>
              <w:t>Experience:</w:t>
            </w:r>
          </w:p>
        </w:tc>
        <w:tc>
          <w:tcPr>
            <w:tcW w:w="239" w:type="dxa"/>
            <w:tcBorders/>
          </w:tcPr>
          <w:p>
            <w:pPr>
              <w:pStyle w:val="Normal"/>
              <w:snapToGrid w:val="false"/>
              <w:rPr>
                <w:b/>
                <w:i/>
                <w:i/>
                <w:sz w:val="22"/>
              </w:rPr>
            </w:pPr>
            <w:r>
              <w:rPr>
                <w:b/>
                <w:i/>
                <w:sz w:val="22"/>
              </w:rPr>
            </w:r>
          </w:p>
        </w:tc>
        <w:tc>
          <w:tcPr>
            <w:tcW w:w="9301" w:type="dxa"/>
            <w:tcBorders/>
          </w:tcPr>
          <w:p>
            <w:pPr>
              <w:pStyle w:val="Normal"/>
              <w:rPr/>
            </w:pPr>
            <w:r>
              <w:rPr>
                <w:b/>
              </w:rPr>
              <w:t>Graduate Fellow</w:t>
            </w:r>
            <w:r>
              <w:rPr/>
              <w:t>, Electric Power Research Institute (EPRI) - Masters thesis topic involved the application of Artificial Intelligence (Expert Systems) and the new Interior Point optimization method to solve the power system optimization problem, optimal power flow (OPF) - August, 1992 to December 1993.</w:t>
            </w:r>
          </w:p>
          <w:p>
            <w:pPr>
              <w:pStyle w:val="Normal"/>
              <w:spacing w:lineRule="exact" w:line="120"/>
              <w:rPr/>
            </w:pPr>
            <w:r>
              <w:rPr/>
            </w:r>
          </w:p>
        </w:tc>
      </w:tr>
      <w:tr>
        <w:trPr/>
        <w:tc>
          <w:tcPr>
            <w:tcW w:w="1458" w:type="dxa"/>
            <w:tcBorders/>
          </w:tcPr>
          <w:p>
            <w:pPr>
              <w:pStyle w:val="Normal"/>
              <w:rPr>
                <w:b/>
                <w:i/>
                <w:i/>
                <w:sz w:val="22"/>
              </w:rPr>
            </w:pPr>
            <w:r>
              <w:rPr>
                <w:b/>
                <w:i/>
                <w:sz w:val="22"/>
              </w:rPr>
              <w:t>Work</w:t>
            </w:r>
          </w:p>
          <w:p>
            <w:pPr>
              <w:pStyle w:val="Normal"/>
              <w:rPr>
                <w:b/>
                <w:i/>
                <w:i/>
                <w:sz w:val="22"/>
              </w:rPr>
            </w:pPr>
            <w:r>
              <w:rPr>
                <w:b/>
                <w:i/>
                <w:sz w:val="22"/>
              </w:rPr>
              <w:t>Experience:</w:t>
            </w:r>
          </w:p>
          <w:p>
            <w:pPr>
              <w:pStyle w:val="Normal"/>
              <w:rPr>
                <w:b/>
                <w:i/>
                <w:i/>
                <w:sz w:val="22"/>
              </w:rPr>
            </w:pPr>
            <w:r>
              <w:rPr>
                <w:b/>
                <w:i/>
                <w:sz w:val="22"/>
              </w:rPr>
            </w:r>
          </w:p>
          <w:p>
            <w:pPr>
              <w:pStyle w:val="Normal"/>
              <w:rPr>
                <w:b/>
                <w:i/>
                <w:i/>
                <w:sz w:val="22"/>
              </w:rPr>
            </w:pPr>
            <w:r>
              <w:rPr>
                <w:b/>
                <w:i/>
                <w:sz w:val="22"/>
              </w:rPr>
            </w:r>
          </w:p>
          <w:p>
            <w:pPr>
              <w:pStyle w:val="Normal"/>
              <w:rPr>
                <w:b/>
                <w:i/>
                <w:i/>
                <w:sz w:val="22"/>
              </w:rPr>
            </w:pPr>
            <w:r>
              <w:rPr>
                <w:b/>
                <w:i/>
                <w:sz w:val="22"/>
              </w:rPr>
            </w:r>
          </w:p>
          <w:p>
            <w:pPr>
              <w:pStyle w:val="Normal"/>
              <w:rPr>
                <w:b/>
                <w:i/>
                <w:i/>
                <w:sz w:val="22"/>
              </w:rPr>
            </w:pPr>
            <w:r>
              <w:rPr>
                <w:b/>
                <w:i/>
                <w:sz w:val="22"/>
              </w:rPr>
            </w:r>
          </w:p>
          <w:p>
            <w:pPr>
              <w:pStyle w:val="Normal"/>
              <w:rPr>
                <w:b/>
                <w:i/>
                <w:i/>
                <w:sz w:val="22"/>
              </w:rPr>
            </w:pPr>
            <w:r>
              <w:rPr>
                <w:b/>
                <w:i/>
                <w:sz w:val="22"/>
              </w:rPr>
            </w:r>
          </w:p>
          <w:p>
            <w:pPr>
              <w:pStyle w:val="Normal"/>
              <w:rPr>
                <w:b/>
                <w:i/>
                <w:i/>
                <w:sz w:val="22"/>
              </w:rPr>
            </w:pPr>
            <w:r>
              <w:rPr>
                <w:b/>
                <w:i/>
                <w:sz w:val="22"/>
              </w:rPr>
            </w:r>
          </w:p>
          <w:p>
            <w:pPr>
              <w:pStyle w:val="Normal"/>
              <w:rPr>
                <w:b/>
                <w:i/>
                <w:i/>
                <w:sz w:val="22"/>
              </w:rPr>
            </w:pPr>
            <w:r>
              <w:rPr>
                <w:b/>
                <w:i/>
                <w:sz w:val="22"/>
              </w:rPr>
            </w:r>
          </w:p>
          <w:p>
            <w:pPr>
              <w:pStyle w:val="Normal"/>
              <w:rPr>
                <w:b/>
                <w:i/>
                <w:i/>
                <w:sz w:val="22"/>
              </w:rPr>
            </w:pPr>
            <w:r>
              <w:rPr>
                <w:b/>
                <w:i/>
                <w:sz w:val="22"/>
              </w:rPr>
            </w:r>
          </w:p>
          <w:p>
            <w:pPr>
              <w:pStyle w:val="Normal"/>
              <w:rPr>
                <w:b/>
                <w:i/>
                <w:i/>
                <w:sz w:val="22"/>
              </w:rPr>
            </w:pPr>
            <w:r>
              <w:rPr>
                <w:b/>
                <w:i/>
                <w:sz w:val="22"/>
              </w:rPr>
            </w:r>
          </w:p>
          <w:p>
            <w:pPr>
              <w:pStyle w:val="Normal"/>
              <w:rPr>
                <w:b/>
                <w:i/>
                <w:i/>
                <w:sz w:val="22"/>
              </w:rPr>
            </w:pPr>
            <w:r>
              <w:rPr>
                <w:b/>
                <w:i/>
                <w:sz w:val="22"/>
              </w:rPr>
            </w:r>
          </w:p>
          <w:p>
            <w:pPr>
              <w:pStyle w:val="Normal"/>
              <w:rPr>
                <w:b/>
                <w:i/>
                <w:i/>
                <w:sz w:val="22"/>
              </w:rPr>
            </w:pPr>
            <w:r>
              <w:rPr>
                <w:b/>
                <w:i/>
                <w:sz w:val="22"/>
              </w:rPr>
            </w:r>
          </w:p>
          <w:p>
            <w:pPr>
              <w:pStyle w:val="Normal"/>
              <w:rPr>
                <w:b/>
                <w:i/>
                <w:i/>
                <w:sz w:val="22"/>
              </w:rPr>
            </w:pPr>
            <w:r>
              <w:rPr>
                <w:b/>
                <w:i/>
                <w:sz w:val="22"/>
              </w:rPr>
            </w:r>
          </w:p>
          <w:p>
            <w:pPr>
              <w:pStyle w:val="Normal"/>
              <w:rPr>
                <w:b/>
                <w:i/>
                <w:i/>
                <w:sz w:val="22"/>
              </w:rPr>
            </w:pPr>
            <w:r>
              <w:rPr>
                <w:b/>
                <w:i/>
                <w:sz w:val="22"/>
              </w:rPr>
            </w:r>
          </w:p>
          <w:p>
            <w:pPr>
              <w:pStyle w:val="Normal"/>
              <w:rPr>
                <w:b/>
                <w:i/>
                <w:i/>
                <w:sz w:val="22"/>
              </w:rPr>
            </w:pPr>
            <w:r>
              <w:rPr>
                <w:b/>
                <w:i/>
                <w:sz w:val="22"/>
              </w:rPr>
            </w:r>
          </w:p>
          <w:p>
            <w:pPr>
              <w:pStyle w:val="Normal"/>
              <w:rPr>
                <w:b/>
                <w:i/>
                <w:i/>
                <w:sz w:val="22"/>
              </w:rPr>
            </w:pPr>
            <w:r>
              <w:rPr>
                <w:b/>
                <w:i/>
                <w:sz w:val="22"/>
              </w:rPr>
            </w:r>
          </w:p>
          <w:p>
            <w:pPr>
              <w:pStyle w:val="Normal"/>
              <w:rPr>
                <w:b/>
                <w:i/>
                <w:i/>
                <w:sz w:val="22"/>
              </w:rPr>
            </w:pPr>
            <w:r>
              <w:rPr>
                <w:b/>
                <w:i/>
                <w:sz w:val="22"/>
              </w:rPr>
            </w:r>
          </w:p>
          <w:p>
            <w:pPr>
              <w:pStyle w:val="Normal"/>
              <w:rPr>
                <w:b/>
                <w:i/>
                <w:i/>
                <w:sz w:val="22"/>
              </w:rPr>
            </w:pPr>
            <w:r>
              <w:rPr>
                <w:b/>
                <w:i/>
                <w:sz w:val="22"/>
              </w:rPr>
            </w:r>
          </w:p>
          <w:p>
            <w:pPr>
              <w:pStyle w:val="Normal"/>
              <w:rPr>
                <w:b/>
                <w:i/>
                <w:i/>
                <w:sz w:val="22"/>
              </w:rPr>
            </w:pPr>
            <w:r>
              <w:rPr>
                <w:b/>
                <w:i/>
                <w:sz w:val="22"/>
              </w:rPr>
            </w:r>
          </w:p>
          <w:p>
            <w:pPr>
              <w:pStyle w:val="Normal"/>
              <w:rPr>
                <w:b/>
                <w:i/>
                <w:i/>
                <w:sz w:val="22"/>
              </w:rPr>
            </w:pPr>
            <w:r>
              <w:rPr>
                <w:b/>
                <w:i/>
                <w:sz w:val="22"/>
              </w:rPr>
            </w:r>
          </w:p>
          <w:p>
            <w:pPr>
              <w:pStyle w:val="Normal"/>
              <w:rPr>
                <w:b/>
                <w:i/>
                <w:i/>
                <w:sz w:val="22"/>
              </w:rPr>
            </w:pPr>
            <w:r>
              <w:rPr>
                <w:b/>
                <w:i/>
                <w:sz w:val="22"/>
              </w:rPr>
            </w:r>
          </w:p>
          <w:p>
            <w:pPr>
              <w:pStyle w:val="Normal"/>
              <w:rPr>
                <w:b/>
                <w:i/>
                <w:i/>
                <w:sz w:val="22"/>
              </w:rPr>
            </w:pPr>
            <w:r>
              <w:rPr>
                <w:b/>
                <w:i/>
                <w:sz w:val="22"/>
              </w:rPr>
            </w:r>
          </w:p>
          <w:p>
            <w:pPr>
              <w:pStyle w:val="Normal"/>
              <w:rPr>
                <w:b/>
                <w:i/>
                <w:i/>
                <w:sz w:val="22"/>
              </w:rPr>
            </w:pPr>
            <w:r>
              <w:rPr>
                <w:b/>
                <w:i/>
                <w:sz w:val="22"/>
              </w:rPr>
            </w:r>
          </w:p>
          <w:p>
            <w:pPr>
              <w:pStyle w:val="Normal"/>
              <w:rPr>
                <w:b/>
                <w:i/>
                <w:i/>
                <w:sz w:val="22"/>
              </w:rPr>
            </w:pPr>
            <w:r>
              <w:rPr>
                <w:b/>
                <w:i/>
                <w:sz w:val="22"/>
              </w:rPr>
            </w:r>
          </w:p>
          <w:p>
            <w:pPr>
              <w:pStyle w:val="Normal"/>
              <w:rPr>
                <w:b/>
                <w:i/>
                <w:i/>
                <w:sz w:val="22"/>
              </w:rPr>
            </w:pPr>
            <w:r>
              <w:rPr>
                <w:b/>
                <w:i/>
                <w:sz w:val="22"/>
              </w:rPr>
            </w:r>
          </w:p>
          <w:p>
            <w:pPr>
              <w:pStyle w:val="Normal"/>
              <w:rPr>
                <w:b/>
                <w:i/>
                <w:i/>
                <w:sz w:val="22"/>
              </w:rPr>
            </w:pPr>
            <w:r>
              <w:rPr>
                <w:b/>
                <w:i/>
                <w:sz w:val="22"/>
              </w:rPr>
            </w:r>
          </w:p>
          <w:p>
            <w:pPr>
              <w:pStyle w:val="Normal"/>
              <w:rPr>
                <w:b/>
                <w:i/>
                <w:i/>
                <w:sz w:val="22"/>
              </w:rPr>
            </w:pPr>
            <w:r>
              <w:rPr>
                <w:b/>
                <w:i/>
                <w:sz w:val="22"/>
              </w:rPr>
            </w:r>
          </w:p>
          <w:p>
            <w:pPr>
              <w:pStyle w:val="Normal"/>
              <w:rPr>
                <w:b/>
                <w:i/>
                <w:i/>
                <w:sz w:val="22"/>
              </w:rPr>
            </w:pPr>
            <w:r>
              <w:rPr>
                <w:b/>
                <w:i/>
                <w:sz w:val="22"/>
              </w:rPr>
            </w:r>
          </w:p>
          <w:p>
            <w:pPr>
              <w:pStyle w:val="Normal"/>
              <w:rPr>
                <w:b/>
                <w:i/>
                <w:i/>
                <w:sz w:val="22"/>
              </w:rPr>
            </w:pPr>
            <w:r>
              <w:rPr>
                <w:b/>
                <w:i/>
                <w:sz w:val="22"/>
              </w:rPr>
            </w:r>
          </w:p>
          <w:p>
            <w:pPr>
              <w:pStyle w:val="Normal"/>
              <w:rPr>
                <w:b/>
                <w:i/>
                <w:i/>
                <w:sz w:val="22"/>
              </w:rPr>
            </w:pPr>
            <w:r>
              <w:rPr>
                <w:b/>
                <w:i/>
                <w:sz w:val="22"/>
              </w:rPr>
            </w:r>
          </w:p>
          <w:p>
            <w:pPr>
              <w:pStyle w:val="Normal"/>
              <w:rPr>
                <w:b/>
                <w:i/>
                <w:i/>
                <w:sz w:val="22"/>
              </w:rPr>
            </w:pPr>
            <w:r>
              <w:rPr>
                <w:b/>
                <w:i/>
                <w:sz w:val="22"/>
              </w:rPr>
            </w:r>
          </w:p>
          <w:p>
            <w:pPr>
              <w:pStyle w:val="Normal"/>
              <w:rPr>
                <w:b/>
                <w:i/>
                <w:i/>
                <w:sz w:val="22"/>
              </w:rPr>
            </w:pPr>
            <w:r>
              <w:rPr>
                <w:b/>
                <w:i/>
                <w:sz w:val="22"/>
              </w:rPr>
            </w:r>
          </w:p>
          <w:p>
            <w:pPr>
              <w:pStyle w:val="Normal"/>
              <w:rPr>
                <w:b/>
                <w:i/>
                <w:i/>
                <w:sz w:val="22"/>
              </w:rPr>
            </w:pPr>
            <w:r>
              <w:rPr>
                <w:b/>
                <w:i/>
                <w:sz w:val="22"/>
              </w:rPr>
            </w:r>
          </w:p>
          <w:p>
            <w:pPr>
              <w:pStyle w:val="Normal"/>
              <w:rPr>
                <w:b/>
                <w:i/>
                <w:i/>
                <w:sz w:val="22"/>
              </w:rPr>
            </w:pPr>
            <w:r>
              <w:rPr>
                <w:b/>
                <w:i/>
                <w:sz w:val="22"/>
              </w:rPr>
            </w:r>
          </w:p>
          <w:p>
            <w:pPr>
              <w:pStyle w:val="Normal"/>
              <w:rPr>
                <w:b/>
                <w:i/>
                <w:i/>
                <w:sz w:val="22"/>
              </w:rPr>
            </w:pPr>
            <w:r>
              <w:rPr>
                <w:b/>
                <w:i/>
                <w:sz w:val="22"/>
              </w:rPr>
            </w:r>
          </w:p>
          <w:p>
            <w:pPr>
              <w:pStyle w:val="Normal"/>
              <w:spacing w:lineRule="exact" w:line="120"/>
              <w:rPr>
                <w:b/>
                <w:i/>
                <w:i/>
                <w:sz w:val="22"/>
              </w:rPr>
            </w:pPr>
            <w:r>
              <w:rPr>
                <w:b/>
                <w:i/>
                <w:sz w:val="22"/>
              </w:rPr>
            </w:r>
          </w:p>
          <w:p>
            <w:pPr>
              <w:pStyle w:val="Normal"/>
              <w:spacing w:lineRule="exact" w:line="120"/>
              <w:rPr>
                <w:b/>
                <w:i/>
                <w:i/>
                <w:sz w:val="22"/>
              </w:rPr>
            </w:pPr>
            <w:r>
              <w:rPr>
                <w:b/>
                <w:i/>
                <w:sz w:val="22"/>
              </w:rPr>
            </w:r>
          </w:p>
          <w:p>
            <w:pPr>
              <w:pStyle w:val="Normal"/>
              <w:rPr>
                <w:b/>
                <w:i/>
                <w:i/>
                <w:sz w:val="22"/>
              </w:rPr>
            </w:pPr>
            <w:r>
              <w:rPr>
                <w:b/>
                <w:i/>
                <w:sz w:val="22"/>
              </w:rPr>
              <w:t>Work</w:t>
            </w:r>
          </w:p>
          <w:p>
            <w:pPr>
              <w:pStyle w:val="Normal"/>
              <w:rPr>
                <w:b/>
                <w:i/>
                <w:i/>
                <w:sz w:val="22"/>
              </w:rPr>
            </w:pPr>
            <w:r>
              <w:rPr>
                <w:b/>
                <w:i/>
                <w:sz w:val="22"/>
              </w:rPr>
              <w:t>Experience:</w:t>
            </w:r>
          </w:p>
        </w:tc>
        <w:tc>
          <w:tcPr>
            <w:tcW w:w="239" w:type="dxa"/>
            <w:tcBorders/>
          </w:tcPr>
          <w:p>
            <w:pPr>
              <w:pStyle w:val="Normal"/>
              <w:snapToGrid w:val="false"/>
              <w:rPr>
                <w:b/>
                <w:i/>
                <w:i/>
                <w:sz w:val="22"/>
              </w:rPr>
            </w:pPr>
            <w:r>
              <w:rPr>
                <w:b/>
                <w:i/>
                <w:sz w:val="22"/>
              </w:rPr>
            </w:r>
          </w:p>
        </w:tc>
        <w:tc>
          <w:tcPr>
            <w:tcW w:w="9301" w:type="dxa"/>
            <w:tcBorders/>
          </w:tcPr>
          <w:p>
            <w:pPr>
              <w:pStyle w:val="Normal"/>
              <w:rPr>
                <w:b/>
              </w:rPr>
            </w:pPr>
            <w:r>
              <w:rPr>
                <w:b/>
              </w:rPr>
              <w:t xml:space="preserve">Senior Power Scheduler, </w:t>
            </w:r>
            <w:r>
              <w:rPr/>
              <w:t>AXIA Energy LP (Entergy-KOCH Partnership), Power Scheduling Group (Feburary 2001 to Present).</w:t>
            </w:r>
          </w:p>
          <w:p>
            <w:pPr>
              <w:pStyle w:val="Normal"/>
              <w:rPr/>
            </w:pPr>
            <w:r>
              <w:rPr>
                <w:u w:val="single"/>
              </w:rPr>
              <w:t>Responsibilities include</w:t>
            </w:r>
            <w:r>
              <w:rPr/>
              <w:t>:</w:t>
              <w:tab/>
              <w:t>Manage all of EPI/AXIA’s Generator Assets on a next-day basis.  Schedule the Entergy Hub, using length off generating assets to cover short positions, when necessary.  Construct NERC tags scheduled from assets to Capacity customers, and for power schedules that came across the ERCOTE DC transmission tie.  Schedule ERCOT, TVA, CINERGY, &amp; PJM hubs as required.  Schedule the full requirement customer schedules as required, ensuring that these customers native projected load are supplied on a daily basis. Communicate with the Entergy power trader and the hourly trading manager to ensure that the next day position of the generation assets is accurate.</w:t>
            </w:r>
          </w:p>
          <w:p>
            <w:pPr>
              <w:pStyle w:val="Header"/>
              <w:tabs>
                <w:tab w:val="clear" w:pos="4320"/>
                <w:tab w:val="clear" w:pos="8640"/>
              </w:tabs>
              <w:spacing w:lineRule="exact" w:line="120"/>
              <w:rPr/>
            </w:pPr>
            <w:r>
              <w:rPr/>
            </w:r>
          </w:p>
          <w:p>
            <w:pPr>
              <w:pStyle w:val="Normal"/>
              <w:rPr>
                <w:b/>
              </w:rPr>
            </w:pPr>
            <w:r>
              <w:rPr>
                <w:b/>
              </w:rPr>
              <w:t xml:space="preserve">Senior Power Scheduler, </w:t>
            </w:r>
            <w:r>
              <w:rPr/>
              <w:t>Entergy Power Marketing Corporation (EPMC), Power Scheduling Group (December 1998 to January 2001).</w:t>
            </w:r>
          </w:p>
          <w:p>
            <w:pPr>
              <w:pStyle w:val="Normal"/>
              <w:rPr/>
            </w:pPr>
            <w:r>
              <w:rPr>
                <w:u w:val="single"/>
              </w:rPr>
              <w:t>Responsibilities included</w:t>
            </w:r>
            <w:r>
              <w:rPr/>
              <w:t>:</w:t>
              <w:tab/>
              <w:t>Managed all of EPI/EPMC’s Generator Assets on a next-day basis.  Scheduled the Entergy Hub, using EPMC’s length off generating assets to cover short positions, when necessary.  Supervised college interns assisting in the management of EPMC’s assets.  Assigned specific task’s and provided guidance to college interns on a daily bases.  Constructed NERC tags scheduled from EPMC’s assets to Capacity customers, and for power schedules that came across the ERCOTE DC transmission tie.  Scheduled ERCOT, TVA, CINERGY, &amp; PJM hubs as required.  Communicated with the Entergy power trader and the hourly trading manager to ensure that the next day position of the EPMC generation assets were accurate.</w:t>
            </w:r>
          </w:p>
          <w:p>
            <w:pPr>
              <w:pStyle w:val="Header"/>
              <w:tabs>
                <w:tab w:val="clear" w:pos="4320"/>
                <w:tab w:val="clear" w:pos="8640"/>
              </w:tabs>
              <w:spacing w:lineRule="exact" w:line="120"/>
              <w:rPr/>
            </w:pPr>
            <w:r>
              <w:rPr/>
            </w:r>
          </w:p>
          <w:p>
            <w:pPr>
              <w:pStyle w:val="Normal"/>
              <w:rPr>
                <w:b/>
              </w:rPr>
            </w:pPr>
            <w:r>
              <w:rPr>
                <w:b/>
              </w:rPr>
              <w:t xml:space="preserve">Hourly Trader / 24-HR Shift Scheduler, </w:t>
            </w:r>
            <w:r>
              <w:rPr/>
              <w:t>Entergy Power Marketing Corporation (EPMC), Power Scheduling Group (May 1998 to November 1998).</w:t>
            </w:r>
          </w:p>
          <w:p>
            <w:pPr>
              <w:pStyle w:val="Normal"/>
              <w:rPr/>
            </w:pPr>
            <w:r>
              <w:rPr>
                <w:u w:val="single"/>
              </w:rPr>
              <w:t>Responsibilities included</w:t>
            </w:r>
            <w:r>
              <w:rPr/>
              <w:t>:</w:t>
              <w:tab/>
              <w:t xml:space="preserve">Managed Entergy’s physical power position through hourly trading and transmission opportunities that maximized EPMC’s profits from its generating assets.  Managed EPMC’s full requirement schedules to ensure that they stayed within acceptable bandwidths.  Communicated with co-owners of generating units to coordinate planned outages and maintenance.  Actualized generation units when applicable.  Monitored unit output to ensure all units corresponded with documented output.  Submitted OASIS requests and NERC tags associated with hourly trades and next day pre-scheduling.  Conducted next and same day physical schedule check out with counter-parties and control areas.  Performed next-day power pre-scheduling by region as required. </w:t>
            </w:r>
          </w:p>
          <w:p>
            <w:pPr>
              <w:pStyle w:val="Header"/>
              <w:tabs>
                <w:tab w:val="clear" w:pos="4320"/>
                <w:tab w:val="clear" w:pos="8640"/>
              </w:tabs>
              <w:spacing w:lineRule="exact" w:line="120"/>
              <w:rPr/>
            </w:pPr>
            <w:r>
              <w:rPr/>
            </w:r>
          </w:p>
          <w:p>
            <w:pPr>
              <w:pStyle w:val="Normal"/>
              <w:rPr>
                <w:b/>
              </w:rPr>
            </w:pPr>
            <w:r>
              <w:rPr>
                <w:b/>
              </w:rPr>
              <w:t xml:space="preserve">System Planning Engineer, </w:t>
            </w:r>
            <w:r>
              <w:rPr/>
              <w:t>Commonwealth Edison Company (ComEd), System Planning Group (January 1997 to April 1998).</w:t>
            </w:r>
          </w:p>
          <w:p>
            <w:pPr>
              <w:pStyle w:val="Normal"/>
              <w:rPr>
                <w:b/>
              </w:rPr>
            </w:pPr>
            <w:r>
              <w:rPr>
                <w:u w:val="single"/>
              </w:rPr>
              <w:t>Responsibilities included</w:t>
            </w:r>
            <w:r>
              <w:rPr/>
              <w:t>:</w:t>
              <w:tab/>
            </w:r>
            <w:r>
              <w:rPr>
                <w:b/>
              </w:rPr>
              <w:t>Special Project</w:t>
            </w:r>
            <w:r>
              <w:rPr/>
              <w:t xml:space="preserve"> – Worked with Ernst and Young engineers and software developers to provide ComEd and industry specific knowledge, to facilitate in the development of Comed’s new deregulation-based billing system.  Developed test scripts and ComEd-like data to evaluate the effectiveness of the billing system, through various phases of it’s development.  Provided feedback to Ernst and young on required enhancements to software.</w:t>
            </w:r>
          </w:p>
          <w:p>
            <w:pPr>
              <w:pStyle w:val="Normal"/>
              <w:spacing w:lineRule="exact" w:line="120"/>
              <w:rPr>
                <w:b/>
              </w:rPr>
            </w:pPr>
            <w:r>
              <w:rPr>
                <w:b/>
              </w:rPr>
            </w:r>
          </w:p>
          <w:p>
            <w:pPr>
              <w:pStyle w:val="Normal"/>
              <w:rPr>
                <w:b/>
              </w:rPr>
            </w:pPr>
            <w:r>
              <w:rPr>
                <w:b/>
              </w:rPr>
              <w:t xml:space="preserve">Transmission Provider Engineer, </w:t>
            </w:r>
            <w:r>
              <w:rPr/>
              <w:t>Commonwealth Edison Company (ComEd), Bulk Power Operations (BPO), System Operations Group (January 1997 to December 1997).</w:t>
            </w:r>
          </w:p>
          <w:p>
            <w:pPr>
              <w:pStyle w:val="Normal"/>
              <w:spacing w:lineRule="exact" w:line="120"/>
              <w:rPr>
                <w:b/>
                <w:u w:val="single"/>
              </w:rPr>
            </w:pPr>
            <w:r>
              <w:rPr>
                <w:b/>
                <w:u w:val="single"/>
              </w:rPr>
            </w:r>
          </w:p>
          <w:p>
            <w:pPr>
              <w:pStyle w:val="Normal"/>
              <w:spacing w:lineRule="exact" w:line="120"/>
              <w:rPr>
                <w:u w:val="single"/>
              </w:rPr>
            </w:pPr>
            <w:r>
              <w:rPr>
                <w:u w:val="single"/>
              </w:rPr>
            </w:r>
          </w:p>
          <w:p>
            <w:pPr>
              <w:pStyle w:val="Normal"/>
              <w:rPr/>
            </w:pPr>
            <w:r>
              <w:rPr>
                <w:u w:val="single"/>
              </w:rPr>
              <w:t>Responsibilities included:</w:t>
            </w:r>
            <w:r>
              <w:rPr/>
              <w:t xml:space="preserve">  Interfaced with power marketers via the telephone and the OASIS database, accepted </w:t>
            </w:r>
          </w:p>
          <w:p>
            <w:pPr>
              <w:pStyle w:val="Normal"/>
              <w:rPr/>
            </w:pPr>
            <w:r>
              <w:rPr/>
              <w:t xml:space="preserve">or denied transmission reservations for access into, through, and out of ComEd’s control area;  Scheduled and confirmed transmission services and other ancillary services in ComEd’s Energy Management System (EMS);  </w:t>
            </w:r>
          </w:p>
          <w:p>
            <w:pPr>
              <w:pStyle w:val="Normal"/>
              <w:rPr/>
            </w:pPr>
            <w:r>
              <w:rPr/>
              <w:t>Interfaced with the Mid-America Interconnected Network (MAIN) personnel regarding ComEd’s transmission system;  Studied &amp; interpreted ComEd’s transmission system capability documented by MAIN’s ATC calculations.</w:t>
            </w:r>
          </w:p>
          <w:p>
            <w:pPr>
              <w:pStyle w:val="Normal"/>
              <w:spacing w:lineRule="exact" w:line="120"/>
              <w:rPr>
                <w:b/>
              </w:rPr>
            </w:pPr>
            <w:r>
              <w:rPr>
                <w:b/>
              </w:rPr>
            </w:r>
          </w:p>
          <w:p>
            <w:pPr>
              <w:pStyle w:val="Normal"/>
              <w:rPr/>
            </w:pPr>
            <w:r>
              <w:rPr>
                <w:b/>
              </w:rPr>
              <w:t xml:space="preserve">Transmission Operations Engineer, </w:t>
            </w:r>
            <w:r>
              <w:rPr/>
              <w:t>Commonwealth Edison Company (ComEd), Bulk Power Operations (BPO), System Operations Group (May 1996 to January 1997).</w:t>
            </w:r>
          </w:p>
          <w:p>
            <w:pPr>
              <w:pStyle w:val="Normal"/>
              <w:rPr>
                <w:b/>
              </w:rPr>
            </w:pPr>
            <w:r>
              <w:rPr>
                <w:u w:val="single"/>
              </w:rPr>
              <w:t>Responsibilities included:</w:t>
            </w:r>
            <w:r>
              <w:rPr/>
              <w:t xml:space="preserve">  Maintained the integrity, reliability, and security of ComEd’s transmission system, including 69 kV, 138 kV, 345 kV, and 765 kV equipment;  Directed and supervised all electrical switching and testing activity on the transmission system;  Analyzed contingency studies and operator power flow studies as required to evaluate system integrity, reliability, and security;  Maintained system voltages and transmission line and equipment loading within their acceptable limits;  Kept supervisors informed of transmission system conditions, major customer outages, information for DOE reports, etc.</w:t>
            </w:r>
          </w:p>
          <w:p>
            <w:pPr>
              <w:pStyle w:val="Normal"/>
              <w:spacing w:lineRule="exact" w:line="120"/>
              <w:rPr>
                <w:b/>
              </w:rPr>
            </w:pPr>
            <w:r>
              <w:rPr>
                <w:b/>
              </w:rPr>
            </w:r>
          </w:p>
          <w:p>
            <w:pPr>
              <w:pStyle w:val="Normal"/>
              <w:rPr/>
            </w:pPr>
            <w:r>
              <w:rPr>
                <w:b/>
              </w:rPr>
              <w:t>Design Engineer</w:t>
            </w:r>
            <w:r>
              <w:rPr/>
              <w:t>, Commonwealth Edison Company (ComEd), Distribution Planning and Reliability (DPAR), Distribution Construction Standards Group (July, 1994 to May, 1996).</w:t>
            </w:r>
          </w:p>
          <w:p>
            <w:pPr>
              <w:pStyle w:val="Normal"/>
              <w:rPr/>
            </w:pPr>
            <w:r>
              <w:rPr>
                <w:u w:val="single"/>
              </w:rPr>
              <w:t>Responsibilities included:</w:t>
            </w:r>
            <w:r>
              <w:rPr/>
              <w:tab/>
              <w:t>Developed new and revised existing construction standards under my specific area of responsibility (Underground equipment);  Provided technical support and respond to questions or requests, involving underground construction standards, as requested by DPAR personnel or other internal customers of the standards group; Assisted in field application of new and existing material and equipment;  Addressed concerns of field forces through interaction with Material &amp; Equipment Specifications and Methods Personnel.</w:t>
            </w:r>
          </w:p>
          <w:p>
            <w:pPr>
              <w:pStyle w:val="Normal"/>
              <w:spacing w:lineRule="exact" w:line="120"/>
              <w:rPr/>
            </w:pPr>
            <w:r>
              <w:rPr/>
            </w:r>
          </w:p>
          <w:p>
            <w:pPr>
              <w:pStyle w:val="Normal"/>
              <w:rPr/>
            </w:pPr>
            <w:r>
              <w:rPr>
                <w:b/>
              </w:rPr>
              <w:t>Graduate Research Assistant</w:t>
            </w:r>
            <w:r>
              <w:rPr/>
              <w:t>, Center for Energy Systems and Control (CESaC), Department of Electrical Engineering, Howard University (June 1991 to May 1994).</w:t>
            </w:r>
          </w:p>
          <w:p>
            <w:pPr>
              <w:pStyle w:val="Normal"/>
              <w:rPr/>
            </w:pPr>
            <w:r>
              <w:rPr>
                <w:u w:val="single"/>
              </w:rPr>
              <w:t>Responsibilities included:</w:t>
            </w:r>
            <w:r>
              <w:rPr/>
              <w:tab/>
              <w:t>Conducted research in power systems related topics for sponsored projects, under the supervision of my academic advisor, post-doctoral researchers, and Ph.D. students;  Teaching assistant for Power Systems &amp; Power Lab classes;  Assisted in the development of proposals, sponsored projects reports, and seminar presentation documents.</w:t>
            </w:r>
          </w:p>
          <w:p>
            <w:pPr>
              <w:pStyle w:val="Normal"/>
              <w:spacing w:lineRule="exact" w:line="120"/>
              <w:rPr/>
            </w:pPr>
            <w:r>
              <w:rPr/>
            </w:r>
          </w:p>
        </w:tc>
      </w:tr>
      <w:tr>
        <w:trPr/>
        <w:tc>
          <w:tcPr>
            <w:tcW w:w="1458" w:type="dxa"/>
            <w:tcBorders/>
          </w:tcPr>
          <w:p>
            <w:pPr>
              <w:pStyle w:val="Normal"/>
              <w:rPr>
                <w:b/>
                <w:i/>
                <w:i/>
                <w:sz w:val="22"/>
              </w:rPr>
            </w:pPr>
            <w:r>
              <w:rPr>
                <w:b/>
                <w:i/>
                <w:sz w:val="22"/>
              </w:rPr>
              <w:t>Honors &amp;</w:t>
            </w:r>
          </w:p>
          <w:p>
            <w:pPr>
              <w:pStyle w:val="Normal"/>
              <w:rPr>
                <w:b/>
                <w:i/>
                <w:i/>
                <w:sz w:val="22"/>
              </w:rPr>
            </w:pPr>
            <w:r>
              <w:rPr>
                <w:b/>
                <w:i/>
                <w:sz w:val="22"/>
              </w:rPr>
              <w:t>Activities:</w:t>
            </w:r>
          </w:p>
        </w:tc>
        <w:tc>
          <w:tcPr>
            <w:tcW w:w="239" w:type="dxa"/>
            <w:tcBorders/>
          </w:tcPr>
          <w:p>
            <w:pPr>
              <w:pStyle w:val="Normal"/>
              <w:snapToGrid w:val="false"/>
              <w:rPr>
                <w:b/>
                <w:i/>
                <w:i/>
                <w:sz w:val="22"/>
              </w:rPr>
            </w:pPr>
            <w:r>
              <w:rPr>
                <w:b/>
                <w:i/>
                <w:sz w:val="22"/>
              </w:rPr>
            </w:r>
          </w:p>
        </w:tc>
        <w:tc>
          <w:tcPr>
            <w:tcW w:w="9301" w:type="dxa"/>
            <w:tcBorders/>
          </w:tcPr>
          <w:p>
            <w:pPr>
              <w:pStyle w:val="Normal"/>
              <w:rPr/>
            </w:pPr>
            <w:r>
              <w:rPr/>
              <w:t>Perfect Attendance, ComEd 1994 - 1997;  National Deans Lists 1992-1994;  Howard University Engineering Dean's list: 1988 &amp; 1989;  Graduate Fellowship, Electric Power Research Institute (EPRI) 1992-1993;  Howard University Trustee Scholarship, 1989;  Howard University Varsity Soccer Team, 1987-1989, Co-Captain 1989; I.E.E.E., N.S.B.E., and E.A.A.M.A. member; ComEd Junior Achievement Volunteer.</w:t>
            </w:r>
          </w:p>
          <w:p>
            <w:pPr>
              <w:pStyle w:val="Normal"/>
              <w:spacing w:lineRule="exact" w:line="120"/>
              <w:rPr/>
            </w:pPr>
            <w:r>
              <w:rPr/>
            </w:r>
          </w:p>
        </w:tc>
      </w:tr>
      <w:tr>
        <w:trPr/>
        <w:tc>
          <w:tcPr>
            <w:tcW w:w="1458" w:type="dxa"/>
            <w:tcBorders/>
          </w:tcPr>
          <w:p>
            <w:pPr>
              <w:pStyle w:val="Normal"/>
              <w:rPr>
                <w:b/>
                <w:i/>
                <w:i/>
                <w:sz w:val="22"/>
              </w:rPr>
            </w:pPr>
            <w:r>
              <w:rPr>
                <w:b/>
                <w:i/>
                <w:sz w:val="22"/>
              </w:rPr>
              <w:t>Publications:</w:t>
            </w:r>
          </w:p>
        </w:tc>
        <w:tc>
          <w:tcPr>
            <w:tcW w:w="239" w:type="dxa"/>
            <w:tcBorders/>
          </w:tcPr>
          <w:p>
            <w:pPr>
              <w:pStyle w:val="Normal"/>
              <w:snapToGrid w:val="false"/>
              <w:rPr>
                <w:b/>
                <w:i/>
                <w:i/>
                <w:sz w:val="22"/>
              </w:rPr>
            </w:pPr>
            <w:r>
              <w:rPr>
                <w:b/>
                <w:i/>
                <w:sz w:val="22"/>
              </w:rPr>
            </w:r>
          </w:p>
        </w:tc>
        <w:tc>
          <w:tcPr>
            <w:tcW w:w="9301" w:type="dxa"/>
            <w:tcBorders/>
          </w:tcPr>
          <w:p>
            <w:pPr>
              <w:pStyle w:val="Normal"/>
              <w:rPr/>
            </w:pPr>
            <w:r>
              <w:rPr/>
              <w:t xml:space="preserve">Published technical papers at the following conferences:  58th Annual American Power Conference (APC), Illinois Institute of Technology, 1996;  National Power Symposium (NAPS), Kansas State University, 1994;  NAPS' 93, Howard University; 36th Annual Midwest Symposium on Circuits and Systems, Wayne State University, 1993;  4th International Symposium of Expert Systems for Power Systems, Australia, 1993.  </w:t>
            </w:r>
          </w:p>
          <w:p>
            <w:pPr>
              <w:pStyle w:val="Normal"/>
              <w:rPr>
                <w:b/>
                <w:i/>
                <w:i/>
              </w:rPr>
            </w:pPr>
            <w:r>
              <w:rPr>
                <w:b/>
                <w:i/>
              </w:rPr>
              <w:t>Papers are available upon request.</w:t>
            </w:r>
          </w:p>
          <w:p>
            <w:pPr>
              <w:pStyle w:val="Normal"/>
              <w:spacing w:lineRule="exact" w:line="120"/>
              <w:rPr/>
            </w:pPr>
            <w:r>
              <w:rPr/>
            </w:r>
          </w:p>
        </w:tc>
      </w:tr>
      <w:tr>
        <w:trPr/>
        <w:tc>
          <w:tcPr>
            <w:tcW w:w="1458" w:type="dxa"/>
            <w:tcBorders/>
          </w:tcPr>
          <w:p>
            <w:pPr>
              <w:pStyle w:val="Normal"/>
              <w:rPr>
                <w:b/>
                <w:i/>
                <w:i/>
                <w:sz w:val="22"/>
              </w:rPr>
            </w:pPr>
            <w:r>
              <w:rPr>
                <w:b/>
                <w:i/>
                <w:sz w:val="22"/>
              </w:rPr>
              <w:t>Computer</w:t>
            </w:r>
          </w:p>
          <w:p>
            <w:pPr>
              <w:pStyle w:val="Normal"/>
              <w:rPr>
                <w:b/>
                <w:i/>
                <w:i/>
                <w:sz w:val="22"/>
              </w:rPr>
            </w:pPr>
            <w:r>
              <w:rPr>
                <w:b/>
                <w:i/>
                <w:sz w:val="22"/>
              </w:rPr>
              <w:t>Skills:</w:t>
            </w:r>
          </w:p>
        </w:tc>
        <w:tc>
          <w:tcPr>
            <w:tcW w:w="239" w:type="dxa"/>
            <w:tcBorders/>
          </w:tcPr>
          <w:p>
            <w:pPr>
              <w:pStyle w:val="Normal"/>
              <w:snapToGrid w:val="false"/>
              <w:rPr>
                <w:b/>
                <w:i/>
                <w:i/>
                <w:sz w:val="22"/>
              </w:rPr>
            </w:pPr>
            <w:r>
              <w:rPr>
                <w:b/>
                <w:i/>
                <w:sz w:val="22"/>
              </w:rPr>
            </w:r>
          </w:p>
        </w:tc>
        <w:tc>
          <w:tcPr>
            <w:tcW w:w="9301" w:type="dxa"/>
            <w:tcBorders/>
          </w:tcPr>
          <w:p>
            <w:pPr>
              <w:pStyle w:val="Normal"/>
              <w:rPr/>
            </w:pPr>
            <w:r>
              <w:rPr/>
              <w:t>AUTOCAD</w:t>
            </w:r>
            <w:r>
              <w:rPr>
                <w:vertAlign w:val="superscript"/>
              </w:rPr>
              <w:t>®</w:t>
            </w:r>
            <w:r>
              <w:rPr/>
              <w:t>, PASCAL, FORTRAN, PROLOG, LISP, NEXPERT, G2, VPEXPERT, OPS83, VAX-VMS, Microsoft AutoCAD</w:t>
            </w:r>
            <w:r>
              <w:rPr>
                <w:vertAlign w:val="superscript"/>
              </w:rPr>
              <w:t>®</w:t>
            </w:r>
            <w:r>
              <w:rPr/>
              <w:t xml:space="preserve"> LT, LOTUS</w:t>
            </w:r>
            <w:r>
              <w:rPr>
                <w:vertAlign w:val="superscript"/>
              </w:rPr>
              <w:t>1-2-3</w:t>
            </w:r>
            <w:r>
              <w:rPr/>
              <w:t>, BASIC, MathLab, Microsoft Outlook, Microsoft Access, Microsoft Excel, Microsoft Project, Microsoft PowerPoint, Harvard Graphics for Windows, ABC FlowCharter, Photo Finish, Etc.</w:t>
            </w:r>
          </w:p>
        </w:tc>
      </w:tr>
    </w:tbl>
    <w:p>
      <w:pPr>
        <w:pStyle w:val="Normal"/>
        <w:spacing w:lineRule="exact" w:line="200"/>
        <w:jc w:val="center"/>
        <w:rPr/>
      </w:pPr>
      <w:r>
        <w:rPr/>
      </w:r>
    </w:p>
    <w:sectPr>
      <w:headerReference w:type="default" r:id="rId2"/>
      <w:footerReference w:type="default" r:id="rId3"/>
      <w:type w:val="nextPage"/>
      <w:pgSz w:w="12240" w:h="15840"/>
      <w:pgMar w:left="720" w:right="720" w:gutter="0" w:header="360" w:top="936" w:footer="360" w:bottom="93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12" w:space="1" w:color="000000"/>
      </w:pBd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double" w:sz="12" w:space="1" w:color="000000"/>
        <w:bottom w:val="single" w:sz="6" w:space="1" w:color="000000"/>
      </w:pBdr>
      <w:spacing w:lineRule="exact" w:line="80"/>
      <w:jc w:val="center"/>
      <w:rPr>
        <w:b/>
        <w:sz w:val="28"/>
      </w:rPr>
    </w:pPr>
    <w:r>
      <w:rPr>
        <w:b/>
        <w:sz w:val="28"/>
      </w:rPr>
    </w:r>
  </w:p>
  <w:p>
    <w:pPr>
      <w:pStyle w:val="Header"/>
      <w:pBdr>
        <w:top w:val="double" w:sz="12" w:space="1" w:color="000000"/>
        <w:bottom w:val="single" w:sz="6" w:space="1" w:color="000000"/>
      </w:pBdr>
      <w:spacing w:lineRule="exact" w:line="240"/>
      <w:jc w:val="center"/>
      <w:rPr>
        <w:b/>
        <w:sz w:val="24"/>
      </w:rPr>
    </w:pPr>
    <w:r>
      <w:rPr>
        <w:b/>
        <w:sz w:val="28"/>
      </w:rPr>
      <w:t>GARVIN F. BROWN</w:t>
    </w:r>
  </w:p>
  <w:p>
    <w:pPr>
      <w:pStyle w:val="Header"/>
      <w:pBdr>
        <w:top w:val="double" w:sz="12" w:space="1" w:color="000000"/>
        <w:bottom w:val="single" w:sz="6" w:space="1" w:color="000000"/>
      </w:pBdr>
      <w:spacing w:lineRule="exact" w:line="220"/>
      <w:jc w:val="center"/>
      <w:rPr>
        <w:b/>
      </w:rPr>
    </w:pPr>
    <w:r>
      <w:rPr>
        <w:b/>
      </w:rPr>
      <w:t>7200 Almeda Road, Apt. # 527</w:t>
    </w:r>
  </w:p>
  <w:p>
    <w:pPr>
      <w:pStyle w:val="Header"/>
      <w:pBdr>
        <w:top w:val="double" w:sz="12" w:space="1" w:color="000000"/>
        <w:bottom w:val="single" w:sz="6" w:space="1" w:color="000000"/>
      </w:pBdr>
      <w:spacing w:lineRule="exact" w:line="220"/>
      <w:jc w:val="center"/>
      <w:rPr>
        <w:b/>
      </w:rPr>
    </w:pPr>
    <w:r>
      <w:rPr>
        <w:b/>
      </w:rPr>
      <w:t>Houston, Texas 77054</w:t>
    </w:r>
  </w:p>
  <w:p>
    <w:pPr>
      <w:pStyle w:val="Header"/>
      <w:pBdr>
        <w:top w:val="double" w:sz="12" w:space="1" w:color="000000"/>
        <w:bottom w:val="single" w:sz="6" w:space="1" w:color="000000"/>
      </w:pBdr>
      <w:spacing w:lineRule="exact" w:line="220"/>
      <w:jc w:val="center"/>
      <w:rPr>
        <w:b/>
      </w:rPr>
    </w:pPr>
    <w:r>
      <w:rPr>
        <w:b/>
      </w:rPr>
      <w:t>Tel. (713) 796-1269 (H) / (713) 544-4610 (W) / (281) 989-5416 (M)</w:t>
    </w:r>
  </w:p>
  <w:p>
    <w:pPr>
      <w:pStyle w:val="Header"/>
      <w:pBdr>
        <w:top w:val="double" w:sz="12" w:space="1" w:color="000000"/>
        <w:bottom w:val="single" w:sz="6" w:space="1" w:color="000000"/>
      </w:pBdr>
      <w:spacing w:lineRule="exact" w:line="220"/>
      <w:jc w:val="center"/>
      <w:rPr>
        <w:b/>
      </w:rPr>
    </w:pPr>
    <w:r>
      <w:rPr>
        <w:b/>
      </w:rPr>
      <w:t>GARVIN.BROWN@axiaenergy.com</w:t>
    </w:r>
  </w:p>
</w:hdr>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2001-05-18T10:34:00Z</dcterms:created>
  <dc:creator>Eric H. Chu</dc:creator>
  <dc:description/>
  <dc:language>en-CA</dc:language>
  <cp:lastModifiedBy>jpalmer</cp:lastModifiedBy>
  <cp:lastPrinted>2001-02-20T11:44:00Z</cp:lastPrinted>
  <dcterms:modified xsi:type="dcterms:W3CDTF">2001-05-18T10:34:00Z</dcterms:modified>
  <cp:revision>3</cp:revision>
  <dc:subject/>
  <dc:title>Objective:	</dc:title>
</cp:coreProperties>
</file>