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4"/>
        </w:rPr>
        <w:t>Early signs of the market’s adaptation to  Reg FD show that it may significantly reduce the flow of information between firms and their investors.  Indeed, many law firms are  currently advising their clients to “err on the side of less information” when talking privately to investors and analysts.  If analysts and investors are starved for information, markets become more volatile and less efficient.  As a result; capital is allocated less rationally and the investing public can rely even less than today on the market’s price discovery mechanism.  Equally important, in an atmosphere where information is artificially scarce, the favored few with preferential access</w:t>
      </w:r>
      <w:r>
        <w:rPr>
          <w:i/>
          <w:sz w:val="24"/>
        </w:rPr>
        <w:t xml:space="preserve"> </w:t>
      </w:r>
      <w:r>
        <w:rPr>
          <w:b/>
          <w:i/>
          <w:sz w:val="24"/>
        </w:rPr>
        <w:t xml:space="preserve">or their own investigative resources </w:t>
      </w:r>
      <w:r>
        <w:rPr>
          <w:sz w:val="24"/>
        </w:rPr>
        <w:t xml:space="preserve"> have a greater and even more unfair advantage.  Therefore, the result of FD may be the opposite of what was intended.  As the formal disclosure process  becomes more ritualistic and less relevant; the informal process, by which things really get done, will become more occult and less transparent to the average investor.  These results run contrary to what should be the SEC’s policy: to improve the health and rationality of equity markets for new economy companies by making disclosure safer, not more perilous; and making information flow, not dry up.</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2000-11-17T21:19:00Z</dcterms:created>
  <dc:creator>SHV</dc:creator>
  <dc:description/>
  <dc:language>en-CA</dc:language>
  <cp:lastModifiedBy>Matt Murphy</cp:lastModifiedBy>
  <cp:lastPrinted>2000-10-26T10:48:00Z</cp:lastPrinted>
  <dcterms:modified xsi:type="dcterms:W3CDTF">2000-11-17T21:19:00Z</dcterms:modified>
  <cp:revision>2</cp:revision>
  <dc:subject/>
  <dc:title>The New FD Rules (Revised 10/22/00</dc:title>
</cp:coreProperties>
</file>