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40" w:type="dxa"/>
        <w:tblLayout w:type="fixed"/>
        <w:tblCellMar>
          <w:top w:w="0" w:type="dxa"/>
          <w:start w:w="40" w:type="dxa"/>
          <w:bottom w:w="0" w:type="dxa"/>
          <w:end w:w="40" w:type="dxa"/>
        </w:tblCellMar>
      </w:tblPr>
      <w:tblGrid>
        <w:gridCol w:w="1800"/>
        <w:gridCol w:w="417"/>
        <w:gridCol w:w="417"/>
        <w:gridCol w:w="417"/>
        <w:gridCol w:w="7659"/>
      </w:tblGrid>
      <w:tr>
        <w:trPr/>
        <w:tc>
          <w:tcPr>
            <w:tcW w:w="1800" w:type="dxa"/>
            <w:tcBorders/>
            <w:shd w:fill="F2F2F2" w:val="clear"/>
          </w:tcPr>
          <w:p>
            <w:pPr>
              <w:pStyle w:val="Normal"/>
              <w:keepNext w:val="true"/>
              <w:keepLines/>
              <w:spacing w:lineRule="atLeast" w:line="240" w:before="120" w:after="0"/>
              <w:ind w:start="40" w:end="40"/>
              <w:rPr>
                <w:rFonts w:ascii="Arial Black" w:hAnsi="Arial Black" w:cs="Arial Black"/>
                <w:b/>
                <w:color w:val="000080"/>
                <w:sz w:val="24"/>
              </w:rPr>
            </w:pPr>
            <w:r>
              <w:rPr>
                <w:rFonts w:cs="Arial Black" w:ascii="Arial Black" w:hAnsi="Arial Black"/>
                <w:b/>
                <w:color w:val="000080"/>
                <w:sz w:val="24"/>
              </w:rPr>
              <w:t>ENRON</w:t>
            </w:r>
          </w:p>
          <w:p>
            <w:pPr>
              <w:pStyle w:val="Normal"/>
              <w:keepLines/>
              <w:spacing w:lineRule="atLeast" w:line="240"/>
              <w:ind w:start="40" w:end="40"/>
              <w:rPr>
                <w:rFonts w:ascii="Arial Black" w:hAnsi="Arial Black" w:cs="Arial Black"/>
                <w:color w:val="000080"/>
              </w:rPr>
            </w:pPr>
            <w:r>
              <w:rPr>
                <w:rFonts w:cs="Arial Black" w:ascii="Arial Black" w:hAnsi="Arial Black"/>
                <w:color w:val="000080"/>
              </w:rPr>
              <w:t>Federal</w:t>
            </w:r>
          </w:p>
          <w:p>
            <w:pPr>
              <w:pStyle w:val="Normal"/>
              <w:keepLines/>
              <w:spacing w:lineRule="atLeast" w:line="240"/>
              <w:ind w:start="40" w:end="40"/>
              <w:rPr>
                <w:rFonts w:ascii="Arial Black" w:hAnsi="Arial Black" w:cs="Arial Black"/>
                <w:color w:val="000080"/>
              </w:rPr>
            </w:pPr>
            <w:r>
              <w:rPr>
                <w:rFonts w:cs="Arial Black" w:ascii="Arial Black" w:hAnsi="Arial Black"/>
                <w:color w:val="000080"/>
              </w:rPr>
              <w:t>Solutions, Inc.</w:t>
            </w:r>
          </w:p>
        </w:tc>
        <w:tc>
          <w:tcPr>
            <w:tcW w:w="417" w:type="dxa"/>
            <w:tcBorders/>
            <w:shd w:fill="000080" w:val="clear"/>
          </w:tcPr>
          <w:p>
            <w:pPr>
              <w:pStyle w:val="Normal"/>
              <w:keepNext w:val="true"/>
              <w:keepLines/>
              <w:snapToGrid w:val="false"/>
              <w:spacing w:lineRule="atLeast" w:line="240"/>
              <w:ind w:start="40" w:end="40"/>
              <w:jc w:val="center"/>
              <w:rPr>
                <w:rFonts w:ascii="Arial Black" w:hAnsi="Arial Black" w:cs="Arial Black"/>
                <w:color w:val="000080"/>
              </w:rPr>
            </w:pPr>
            <w:r>
              <w:rPr>
                <w:rFonts w:cs="Arial Black" w:ascii="Arial Black" w:hAnsi="Arial Black"/>
                <w:color w:val="000080"/>
              </w:rPr>
            </w:r>
          </w:p>
        </w:tc>
        <w:tc>
          <w:tcPr>
            <w:tcW w:w="417" w:type="dxa"/>
            <w:tcBorders/>
            <w:shd w:fill="BFBFBF" w:val="clear"/>
          </w:tcPr>
          <w:p>
            <w:pPr>
              <w:pStyle w:val="Normal"/>
              <w:keepNext w:val="true"/>
              <w:keepLines/>
              <w:snapToGrid w:val="false"/>
              <w:spacing w:lineRule="atLeast" w:line="240"/>
              <w:ind w:start="40" w:end="40"/>
              <w:jc w:val="center"/>
              <w:rPr>
                <w:rFonts w:ascii="Arial Black" w:hAnsi="Arial Black" w:cs="Arial Black"/>
                <w:color w:val="000080"/>
              </w:rPr>
            </w:pPr>
            <w:r>
              <w:rPr>
                <w:rFonts w:cs="Arial Black" w:ascii="Arial Black" w:hAnsi="Arial Black"/>
                <w:color w:val="000080"/>
              </w:rPr>
            </w:r>
          </w:p>
        </w:tc>
        <w:tc>
          <w:tcPr>
            <w:tcW w:w="417" w:type="dxa"/>
            <w:tcBorders/>
            <w:shd w:fill="CCCCCC" w:val="clear"/>
          </w:tcPr>
          <w:p>
            <w:pPr>
              <w:pStyle w:val="Normal"/>
              <w:keepNext w:val="true"/>
              <w:keepLines/>
              <w:snapToGrid w:val="false"/>
              <w:spacing w:lineRule="atLeast" w:line="240"/>
              <w:ind w:start="40" w:end="40"/>
              <w:jc w:val="center"/>
              <w:rPr>
                <w:rFonts w:ascii="Arial Black" w:hAnsi="Arial Black" w:cs="Arial Black"/>
                <w:color w:val="000080"/>
              </w:rPr>
            </w:pPr>
            <w:r>
              <w:rPr>
                <w:rFonts w:cs="Arial Black" w:ascii="Arial Black" w:hAnsi="Arial Black"/>
                <w:color w:val="000080"/>
              </w:rPr>
            </w:r>
          </w:p>
        </w:tc>
        <w:tc>
          <w:tcPr>
            <w:tcW w:w="7659" w:type="dxa"/>
            <w:tcBorders/>
            <w:shd w:fill="D8D8D8" w:val="clear"/>
          </w:tcPr>
          <w:p>
            <w:pPr>
              <w:pStyle w:val="Heading1"/>
              <w:rPr/>
            </w:pPr>
            <w:r>
              <w:rPr/>
              <w:t>SIGNIFICANT EVENTS REPORT</w:t>
            </w:r>
          </w:p>
          <w:p>
            <w:pPr>
              <w:pStyle w:val="Normal"/>
              <w:keepLines/>
              <w:spacing w:lineRule="atLeast" w:line="240"/>
              <w:ind w:firstLine="153" w:start="40" w:end="40"/>
              <w:rPr>
                <w:rFonts w:ascii="Arial Rounded MT Bold" w:hAnsi="Arial Rounded MT Bold" w:cs="Arial Rounded MT Bold"/>
                <w:b/>
                <w:color w:val="FF0000"/>
                <w:sz w:val="28"/>
              </w:rPr>
            </w:pPr>
            <w:r>
              <w:rPr>
                <w:rFonts w:eastAsia="Arial Rounded MT Bold" w:cs="Arial Rounded MT Bold" w:ascii="Arial Rounded MT Bold" w:hAnsi="Arial Rounded MT Bold"/>
                <w:b/>
                <w:color w:val="FF0000"/>
                <w:sz w:val="28"/>
              </w:rPr>
              <w:t xml:space="preserve">                                  </w:t>
            </w:r>
            <w:r>
              <w:rPr>
                <w:rFonts w:cs="Arial Rounded MT Bold" w:ascii="Arial Rounded MT Bold" w:hAnsi="Arial Rounded MT Bold"/>
                <w:b/>
                <w:color w:val="FF0000"/>
                <w:sz w:val="28"/>
              </w:rPr>
              <w:t>September 23 - September 29, 1999</w:t>
            </w:r>
          </w:p>
          <w:p>
            <w:pPr>
              <w:pStyle w:val="Normal"/>
              <w:keepLines/>
              <w:spacing w:lineRule="atLeast" w:line="240"/>
              <w:ind w:end="40"/>
              <w:rPr>
                <w:rFonts w:ascii="Arial Rounded MT Bold" w:hAnsi="Arial Rounded MT Bold" w:cs="Arial Rounded MT Bold"/>
                <w:b/>
                <w:color w:val="000000"/>
                <w:sz w:val="28"/>
              </w:rPr>
            </w:pPr>
            <w:r>
              <w:rPr>
                <w:rFonts w:cs="Arial Rounded MT Bold" w:ascii="Arial Rounded MT Bold" w:hAnsi="Arial Rounded MT Bold"/>
                <w:b/>
                <w:color w:val="000000"/>
                <w:sz w:val="28"/>
              </w:rPr>
            </w:r>
          </w:p>
          <w:p>
            <w:pPr>
              <w:pStyle w:val="Normal"/>
              <w:keepLines/>
              <w:spacing w:lineRule="atLeast" w:line="240"/>
              <w:ind w:firstLine="153" w:start="40" w:end="40"/>
              <w:rPr>
                <w:rFonts w:ascii="Arial Rounded MT Bold" w:hAnsi="Arial Rounded MT Bold" w:cs="Arial Rounded MT Bold"/>
                <w:b/>
                <w:color w:val="000000"/>
              </w:rPr>
            </w:pPr>
            <w:r>
              <w:rPr>
                <w:rFonts w:cs="Arial Rounded MT Bold" w:ascii="Arial Rounded MT Bold" w:hAnsi="Arial Rounded MT Bold"/>
                <w:b/>
                <w:color w:val="000000"/>
              </w:rPr>
              <w:t xml:space="preserve">TEAM MEMBERS: </w:t>
            </w:r>
          </w:p>
          <w:p>
            <w:pPr>
              <w:pStyle w:val="Normal"/>
              <w:keepLines/>
              <w:spacing w:lineRule="atLeast" w:line="240"/>
              <w:ind w:firstLine="153" w:start="40" w:end="40"/>
              <w:rPr>
                <w:rFonts w:ascii="Arial Rounded MT Bold" w:hAnsi="Arial Rounded MT Bold" w:cs="Arial Rounded MT Bold"/>
                <w:b/>
                <w:color w:val="000000"/>
                <w:sz w:val="18"/>
              </w:rPr>
            </w:pPr>
            <w:r>
              <w:rPr>
                <w:rFonts w:cs="Arial Rounded MT Bold" w:ascii="Arial Rounded MT Bold" w:hAnsi="Arial Rounded MT Bold"/>
                <w:b/>
                <w:color w:val="000000"/>
                <w:sz w:val="18"/>
              </w:rPr>
              <w:t xml:space="preserve">Bill Votaw, John Carr, Charlie Thompson,  Colette Weinreich, Stefanie Manchaca, </w:t>
            </w:r>
          </w:p>
          <w:p>
            <w:pPr>
              <w:pStyle w:val="Normal"/>
              <w:keepLines/>
              <w:spacing w:lineRule="atLeast" w:line="240"/>
              <w:ind w:firstLine="153" w:start="40" w:end="40"/>
              <w:rPr/>
            </w:pPr>
            <w:r>
              <w:rPr>
                <w:rFonts w:cs="Arial Rounded MT Bold" w:ascii="Arial Rounded MT Bold" w:hAnsi="Arial Rounded MT Bold"/>
                <w:b/>
                <w:color w:val="000000"/>
                <w:sz w:val="18"/>
              </w:rPr>
              <w:t>Dean Tarbet,</w:t>
            </w:r>
            <w:r>
              <w:rPr>
                <w:rFonts w:cs="Arial Rounded MT Bold" w:ascii="Arial Rounded MT Bold" w:hAnsi="Arial Rounded MT Bold"/>
                <w:sz w:val="18"/>
              </w:rPr>
              <w:t xml:space="preserve">  Katherine Saunders, Bill Gang, Nicole Lauzier</w:t>
            </w:r>
          </w:p>
          <w:p>
            <w:pPr>
              <w:pStyle w:val="Normal"/>
              <w:keepLines/>
              <w:spacing w:lineRule="atLeast" w:line="240"/>
              <w:ind w:firstLine="153" w:start="40" w:end="40"/>
              <w:rPr>
                <w:rFonts w:ascii="Arial Rounded MT Bold" w:hAnsi="Arial Rounded MT Bold" w:cs="Arial Rounded MT Bold"/>
                <w:b/>
                <w:color w:val="000000"/>
                <w:sz w:val="18"/>
              </w:rPr>
            </w:pPr>
            <w:r>
              <w:rPr>
                <w:rFonts w:cs="Arial Rounded MT Bold" w:ascii="Arial Rounded MT Bold" w:hAnsi="Arial Rounded MT Bold"/>
                <w:b/>
                <w:color w:val="000000"/>
                <w:sz w:val="18"/>
              </w:rPr>
            </w:r>
          </w:p>
        </w:tc>
      </w:tr>
    </w:tbl>
    <w:p>
      <w:pPr>
        <w:pStyle w:val="Normal"/>
        <w:rPr>
          <w:rFonts w:ascii="Arial Rounded MT Bold" w:hAnsi="Arial Rounded MT Bold" w:cs="Arial Rounded MT Bold"/>
          <w:b/>
          <w:color w:val="000000"/>
        </w:rPr>
      </w:pPr>
      <w:r>
        <w:rPr>
          <w:rFonts w:cs="Arial Rounded MT Bold" w:ascii="Arial Rounded MT Bold" w:hAnsi="Arial Rounded MT Bold"/>
          <w:b/>
          <w:color w:val="000000"/>
        </w:rPr>
      </w:r>
    </w:p>
    <w:p>
      <w:pPr>
        <w:pStyle w:val="Normal"/>
        <w:keepLines/>
        <w:tabs>
          <w:tab w:val="clear" w:pos="720"/>
          <w:tab w:val="left" w:pos="1620" w:leader="none"/>
          <w:tab w:val="left" w:pos="2610" w:leader="none"/>
          <w:tab w:val="left" w:pos="2700" w:leader="none"/>
        </w:tabs>
        <w:spacing w:lineRule="atLeast" w:line="240"/>
        <w:ind w:hanging="810" w:start="1620" w:end="0"/>
        <w:rPr>
          <w:rFonts w:ascii="Arial Rounded MT Bold" w:hAnsi="Arial Rounded MT Bold" w:cs="Arial Rounded MT Bold"/>
          <w:b/>
          <w:color w:val="000000"/>
          <w:effect w:val="blinkBackground"/>
        </w:rPr>
      </w:pPr>
      <w:r>
        <w:rPr>
          <w:rFonts w:cs="Arial Rounded MT Bold" w:ascii="Arial Rounded MT Bold" w:hAnsi="Arial Rounded MT Bold"/>
          <w:b/>
          <w:color w:val="000000"/>
          <w:effect w:val="blinkBackground"/>
        </w:rPr>
      </w:r>
    </w:p>
    <w:p>
      <w:pPr>
        <w:pStyle w:val="Heading3"/>
        <w:tabs>
          <w:tab w:val="clear" w:pos="1620"/>
          <w:tab w:val="clear" w:pos="2610"/>
          <w:tab w:val="clear" w:pos="2700"/>
        </w:tabs>
        <w:ind w:hanging="0" w:start="0" w:end="0"/>
        <w:rPr>
          <w:rFonts w:ascii="Times New Roman" w:hAnsi="Times New Roman" w:cs="Times New Roman"/>
          <w:color w:val="000000"/>
          <w:sz w:val="36"/>
          <w:effect w:val="blinkBackground"/>
        </w:rPr>
      </w:pPr>
      <w:r>
        <w:rPr>
          <w:rFonts w:cs="Times New Roman" w:ascii="Times New Roman" w:hAnsi="Times New Roman"/>
          <w:color w:val="000000"/>
          <w:sz w:val="36"/>
          <w:effect w:val="blinkBackground"/>
        </w:rPr>
        <w:t xml:space="preserve"> </w:t>
      </w:r>
      <w:r>
        <w:rPr>
          <w:rFonts w:cs="Times New Roman" w:ascii="Times New Roman" w:hAnsi="Times New Roman"/>
          <w:color w:val="000000"/>
          <w:sz w:val="36"/>
          <w:effect w:val="blinkBackground"/>
        </w:rPr>
        <w:t xml:space="preserve">RED FLAGS </w:t>
      </w:r>
    </w:p>
    <w:p>
      <w:pPr>
        <w:pStyle w:val="Normal"/>
        <w:rPr>
          <w:rFonts w:ascii="Times New Roman" w:hAnsi="Times New Roman" w:cs="Times New Roman"/>
          <w:b/>
          <w:color w:val="000000"/>
          <w:sz w:val="22"/>
          <w:effect w:val="blinkBackground"/>
        </w:rPr>
      </w:pPr>
      <w:r>
        <w:rPr>
          <w:rFonts w:cs="Times New Roman"/>
          <w:b/>
          <w:color w:val="000000"/>
          <w:sz w:val="22"/>
          <w:effect w:val="blinkBackground"/>
        </w:rPr>
      </w:r>
    </w:p>
    <w:p>
      <w:pPr>
        <w:pStyle w:val="Normal"/>
        <w:rPr>
          <w:b/>
          <w:color w:val="000000"/>
          <w:sz w:val="22"/>
        </w:rPr>
      </w:pPr>
      <w:r>
        <w:rPr>
          <w:b/>
          <w:color w:val="000000"/>
          <w:sz w:val="22"/>
        </w:rPr>
        <w:t>Item</w:t>
      </w:r>
    </w:p>
    <w:p>
      <w:pPr>
        <w:pStyle w:val="Normal"/>
        <w:rPr>
          <w:b/>
          <w:color w:val="000000"/>
          <w:sz w:val="22"/>
        </w:rPr>
      </w:pPr>
      <w:r>
        <w:rPr>
          <w:b/>
          <w:color w:val="000000"/>
          <w:sz w:val="22"/>
        </w:rPr>
        <w:t>None</w:t>
      </w:r>
    </w:p>
    <w:p>
      <w:pPr>
        <w:pStyle w:val="Normal"/>
        <w:rPr>
          <w:b/>
          <w:color w:val="000000"/>
          <w:sz w:val="22"/>
        </w:rPr>
      </w:pPr>
      <w:r>
        <w:rPr>
          <w:b/>
          <w:color w:val="000000"/>
          <w:sz w:val="22"/>
        </w:rPr>
      </w:r>
    </w:p>
    <w:p>
      <w:pPr>
        <w:pStyle w:val="Heading9"/>
        <w:ind w:start="0" w:end="0"/>
        <w:rPr>
          <w:b w:val="false"/>
          <w:sz w:val="22"/>
        </w:rPr>
      </w:pPr>
      <w:r>
        <w:rPr>
          <w:rFonts w:eastAsia="Helv"/>
          <w:sz w:val="34"/>
        </w:rPr>
        <w:t xml:space="preserve"> </w:t>
      </w:r>
      <w:r>
        <w:rPr/>
        <w:t>SIGNIFICANT EVENTS</w:t>
      </w:r>
      <w:r>
        <w:rPr>
          <w:sz w:val="34"/>
        </w:rPr>
        <w:t xml:space="preserve"> </w:t>
      </w:r>
    </w:p>
    <w:p>
      <w:pPr>
        <w:pStyle w:val="Normal"/>
        <w:rPr>
          <w:b/>
          <w:sz w:val="22"/>
        </w:rPr>
      </w:pPr>
      <w:r>
        <w:rPr>
          <w:b/>
          <w:sz w:val="22"/>
        </w:rPr>
      </w:r>
    </w:p>
    <w:p>
      <w:pPr>
        <w:pStyle w:val="Normal"/>
        <w:spacing w:lineRule="atLeast" w:line="240"/>
        <w:rPr>
          <w:b/>
          <w:color w:val="000000"/>
          <w:sz w:val="22"/>
        </w:rPr>
      </w:pPr>
      <w:r>
        <w:rPr>
          <w:b/>
          <w:color w:val="000000"/>
          <w:sz w:val="22"/>
        </w:rPr>
      </w:r>
    </w:p>
    <w:p>
      <w:pPr>
        <w:pStyle w:val="Normal"/>
        <w:rPr>
          <w:b/>
          <w:color w:val="000000"/>
          <w:sz w:val="22"/>
        </w:rPr>
      </w:pPr>
      <w:r>
        <w:rPr>
          <w:b/>
          <w:color w:val="000000"/>
          <w:sz w:val="22"/>
        </w:rPr>
      </w:r>
    </w:p>
    <w:p>
      <w:pPr>
        <w:pStyle w:val="Normal"/>
        <w:rPr>
          <w:b/>
          <w:color w:val="000000"/>
          <w:sz w:val="22"/>
        </w:rPr>
      </w:pPr>
      <w:r>
        <w:rPr>
          <w:b/>
          <w:color w:val="000000"/>
          <w:sz w:val="22"/>
        </w:rPr>
        <w:t>Item</w:t>
      </w:r>
    </w:p>
    <w:p>
      <w:pPr>
        <w:pStyle w:val="Normal"/>
        <w:rPr/>
      </w:pPr>
      <w:r>
        <w:rPr>
          <w:b/>
          <w:color w:val="000000"/>
          <w:sz w:val="22"/>
        </w:rPr>
        <w:t xml:space="preserve">Ft. Carson.  </w:t>
      </w:r>
      <w:r>
        <w:rPr>
          <w:color w:val="000000"/>
          <w:sz w:val="22"/>
        </w:rPr>
        <w:t>Enron has filed to intervene on the side of the Army in the Federal court venue, and will also enter the PUC hearing.  Legal/Regulatory are working on factual stipulation for the case, due 1 Oct 99.  Two recent events are working in our favor:  (1) We have discovered that the entire cantonment (housing) area at Carson is exclusive Federal jurisdiction, which enhances our contention that the PUC has no jurisdiction, and (2) The PUC has denied CSU's request to limit the PUC hearing to issues of state law only, saying they will consider all law that bears on the case.  The Army, meanwhile is proceeding with the privatization evaluation; they have told Judge Match, they will make no award until he rules on the Federal case.</w:t>
      </w:r>
    </w:p>
    <w:p>
      <w:pPr>
        <w:pStyle w:val="Normal"/>
        <w:rPr>
          <w:color w:val="000000"/>
          <w:sz w:val="22"/>
        </w:rPr>
      </w:pPr>
      <w:r>
        <w:rPr>
          <w:color w:val="000000"/>
          <w:sz w:val="22"/>
        </w:rPr>
      </w:r>
    </w:p>
    <w:p>
      <w:pPr>
        <w:pStyle w:val="Normal"/>
        <w:rPr>
          <w:b/>
          <w:color w:val="000000"/>
          <w:sz w:val="22"/>
        </w:rPr>
      </w:pPr>
      <w:r>
        <w:rPr>
          <w:b/>
          <w:color w:val="000000"/>
          <w:sz w:val="22"/>
        </w:rPr>
        <w:t>Item</w:t>
      </w:r>
    </w:p>
    <w:p>
      <w:pPr>
        <w:pStyle w:val="Normal"/>
        <w:rPr/>
      </w:pPr>
      <w:r>
        <w:rPr>
          <w:b/>
          <w:color w:val="000000"/>
          <w:sz w:val="22"/>
        </w:rPr>
        <w:t xml:space="preserve">Edwards AFB.  </w:t>
      </w:r>
      <w:r>
        <w:rPr>
          <w:color w:val="000000"/>
          <w:sz w:val="22"/>
        </w:rPr>
        <w:t>Regulatory (Dasovitch, Squeri) is setting up meeting with the respective CPUC Commissioners to gather until on filing for declaratory judgement that the PUC will not exercise jurisdiction over Edwards privatization.  Strategy is to gather info, but to file quickly and seek an order as soon as possible to try to avoid impacting the Edwards procurement cycle.</w:t>
      </w:r>
    </w:p>
    <w:p>
      <w:pPr>
        <w:pStyle w:val="Normal"/>
        <w:rPr>
          <w:color w:val="000000"/>
          <w:sz w:val="22"/>
        </w:rPr>
      </w:pPr>
      <w:r>
        <w:rPr>
          <w:color w:val="000000"/>
          <w:sz w:val="22"/>
        </w:rPr>
      </w:r>
    </w:p>
    <w:p>
      <w:pPr>
        <w:pStyle w:val="Normal"/>
        <w:rPr>
          <w:b/>
          <w:color w:val="000000"/>
          <w:sz w:val="22"/>
        </w:rPr>
      </w:pPr>
      <w:r>
        <w:rPr>
          <w:b/>
          <w:color w:val="000000"/>
          <w:sz w:val="22"/>
        </w:rPr>
        <w:t>Item</w:t>
      </w:r>
    </w:p>
    <w:p>
      <w:pPr>
        <w:pStyle w:val="Normal"/>
        <w:rPr/>
      </w:pPr>
      <w:r>
        <w:rPr>
          <w:b/>
          <w:color w:val="000000"/>
          <w:sz w:val="22"/>
        </w:rPr>
        <w:t xml:space="preserve">Ft. Huachuca.  </w:t>
      </w:r>
      <w:r>
        <w:rPr>
          <w:color w:val="000000"/>
          <w:sz w:val="22"/>
        </w:rPr>
        <w:t>At an International Ground Source Heat Pump Consortium meeting in Sacramento, we met with Thomas Campbell, Chief Utilities Engineer at Huachuca, and with Randy Calvert, of Taylor Systems Engineering, who is drawing up the strategic plan for HEC (whose contract Huachuca's energy officer wants us to use for a project) at the post.  Campbell advises us to stress VOC reduction (greenhouse gasses) for GSHPs and to include them in our economic savings and asked us to be sure to address the post middle school, which he characterized as "an energy nightmare".  We will meet with Calvert, a former CEG employee, to discuss what we see as an Enron Team scope vis-à-vis his plan.</w:t>
      </w:r>
    </w:p>
    <w:p>
      <w:pPr>
        <w:pStyle w:val="Normal"/>
        <w:rPr>
          <w:color w:val="000000"/>
          <w:sz w:val="22"/>
        </w:rPr>
      </w:pPr>
      <w:r>
        <w:rPr>
          <w:color w:val="000000"/>
          <w:sz w:val="22"/>
        </w:rPr>
      </w:r>
    </w:p>
    <w:p>
      <w:pPr>
        <w:pStyle w:val="Normal"/>
        <w:rPr>
          <w:b/>
          <w:color w:val="000000"/>
          <w:sz w:val="22"/>
        </w:rPr>
      </w:pPr>
      <w:r>
        <w:rPr>
          <w:b/>
          <w:color w:val="000000"/>
          <w:sz w:val="22"/>
        </w:rPr>
        <w:t>Item</w:t>
      </w:r>
    </w:p>
    <w:p>
      <w:pPr>
        <w:pStyle w:val="Normal"/>
        <w:rPr/>
      </w:pPr>
      <w:r>
        <w:rPr>
          <w:b/>
          <w:color w:val="000000"/>
          <w:sz w:val="22"/>
        </w:rPr>
        <w:t>HHSC.</w:t>
      </w:r>
      <w:r>
        <w:rPr>
          <w:color w:val="000000"/>
          <w:sz w:val="22"/>
        </w:rPr>
        <w:t xml:space="preserve">  Kelly Roberson, CFO, has been informed that EFSI is unable to pursue the infrastructure project at their hospitals, due to demand for resource application for development of other projects with more pressing economics.  He was displeased with our decision and was considering having Tom Driskill, HHSC CEO discuss this with Enron senior management.</w:t>
      </w:r>
      <w:r>
        <w:br w:type="page"/>
      </w:r>
    </w:p>
    <w:p>
      <w:pPr>
        <w:pStyle w:val="Normal"/>
        <w:rPr>
          <w:color w:val="000000"/>
          <w:sz w:val="22"/>
        </w:rPr>
      </w:pPr>
      <w:r>
        <w:rPr>
          <w:color w:val="000000"/>
          <w:sz w:val="22"/>
        </w:rPr>
      </w:r>
    </w:p>
    <w:p>
      <w:pPr>
        <w:pStyle w:val="Normal"/>
        <w:rPr>
          <w:b/>
          <w:color w:val="000000"/>
          <w:sz w:val="22"/>
        </w:rPr>
      </w:pPr>
      <w:r>
        <w:rPr>
          <w:b/>
          <w:color w:val="000000"/>
          <w:sz w:val="22"/>
        </w:rPr>
        <w:t>Item</w:t>
      </w:r>
    </w:p>
    <w:p>
      <w:pPr>
        <w:pStyle w:val="Normal"/>
        <w:rPr/>
      </w:pPr>
      <w:r>
        <w:rPr>
          <w:b/>
          <w:color w:val="000000"/>
          <w:sz w:val="22"/>
        </w:rPr>
        <w:t>CA USPS.</w:t>
      </w:r>
      <w:r>
        <w:rPr>
          <w:color w:val="000000"/>
          <w:sz w:val="22"/>
        </w:rPr>
        <w:t xml:space="preserve">  The Post Office has our bid.  As of the moment, their committee has not met to discuss the received bids, but Susan Lum, Contracting Officer, says they will shortly, and then she could be more informative regarding their decision schedule.  Contact with the technical and management members of the committee revealed no further information.</w:t>
      </w:r>
    </w:p>
    <w:p>
      <w:pPr>
        <w:pStyle w:val="Normal"/>
        <w:rPr>
          <w:color w:val="000000"/>
          <w:sz w:val="22"/>
        </w:rPr>
      </w:pPr>
      <w:r>
        <w:rPr>
          <w:color w:val="000000"/>
          <w:sz w:val="22"/>
        </w:rPr>
      </w:r>
    </w:p>
    <w:p>
      <w:pPr>
        <w:pStyle w:val="Normal"/>
        <w:rPr>
          <w:b/>
          <w:color w:val="000000"/>
          <w:sz w:val="22"/>
        </w:rPr>
      </w:pPr>
      <w:r>
        <w:rPr>
          <w:b/>
          <w:color w:val="000000"/>
          <w:sz w:val="22"/>
        </w:rPr>
        <w:t>Item</w:t>
      </w:r>
    </w:p>
    <w:p>
      <w:pPr>
        <w:pStyle w:val="Normal"/>
        <w:rPr/>
      </w:pPr>
      <w:r>
        <w:rPr>
          <w:b/>
          <w:color w:val="000000"/>
          <w:sz w:val="22"/>
        </w:rPr>
        <w:t>Ft. Irwin/NASA JPL.</w:t>
      </w:r>
      <w:r>
        <w:rPr>
          <w:color w:val="000000"/>
          <w:sz w:val="22"/>
        </w:rPr>
        <w:t xml:space="preserve">  Commodity desk (Cordell) supports submitting a bid on this solicitation.  Resources have been requested to do so (due 10/13/99).  The bid is not large (estimated at $20 million, $600K in margin; 20 months), but is straight forward, and does not require heavy resourcing.  Also, when the Contracting Officer was contacted to ask about a reference in the RFP to metering activity in PG&amp;E territory (both locations are in SCE territory), she stated that they may expand this solicitation to other facilities, so growth is possible.</w:t>
      </w:r>
    </w:p>
    <w:p>
      <w:pPr>
        <w:pStyle w:val="Normal"/>
        <w:rPr>
          <w:color w:val="000000"/>
          <w:sz w:val="22"/>
        </w:rPr>
      </w:pPr>
      <w:r>
        <w:rPr>
          <w:color w:val="000000"/>
          <w:sz w:val="22"/>
        </w:rPr>
      </w:r>
    </w:p>
    <w:p>
      <w:pPr>
        <w:pStyle w:val="Normal"/>
        <w:rPr>
          <w:b/>
          <w:color w:val="000000"/>
          <w:sz w:val="22"/>
        </w:rPr>
      </w:pPr>
      <w:r>
        <w:rPr>
          <w:b/>
          <w:color w:val="000000"/>
          <w:sz w:val="22"/>
        </w:rPr>
        <w:t>Item</w:t>
      </w:r>
    </w:p>
    <w:p>
      <w:pPr>
        <w:pStyle w:val="Normal"/>
        <w:rPr/>
      </w:pPr>
      <w:r>
        <w:rPr>
          <w:b/>
          <w:color w:val="000000"/>
          <w:sz w:val="22"/>
        </w:rPr>
        <w:t>Selfridge ANG Base.</w:t>
      </w:r>
      <w:r>
        <w:rPr>
          <w:color w:val="000000"/>
          <w:sz w:val="22"/>
        </w:rPr>
        <w:t xml:space="preserve">  Initial analysis shows a marginal payback.  Assumptions are being investigated, as unusually high payback numbers were unexpected for GSHP in a severe weather area (Michigan).  Wayne Shaw, the energy officer, apparently has money to fund the IAG with DOE.</w:t>
      </w:r>
    </w:p>
    <w:p>
      <w:pPr>
        <w:pStyle w:val="Normal"/>
        <w:rPr>
          <w:color w:val="000000"/>
          <w:sz w:val="22"/>
        </w:rPr>
      </w:pPr>
      <w:r>
        <w:rPr>
          <w:color w:val="000000"/>
          <w:sz w:val="22"/>
        </w:rPr>
      </w:r>
    </w:p>
    <w:p>
      <w:pPr>
        <w:pStyle w:val="Normal"/>
        <w:rPr>
          <w:b/>
          <w:color w:val="000000"/>
          <w:sz w:val="22"/>
        </w:rPr>
      </w:pPr>
      <w:r>
        <w:rPr>
          <w:b/>
          <w:color w:val="000000"/>
          <w:sz w:val="22"/>
        </w:rPr>
        <w:t>Item</w:t>
      </w:r>
    </w:p>
    <w:p>
      <w:pPr>
        <w:pStyle w:val="Normal"/>
        <w:rPr/>
      </w:pPr>
      <w:r>
        <w:rPr>
          <w:b/>
          <w:color w:val="000000"/>
          <w:sz w:val="22"/>
        </w:rPr>
        <w:t xml:space="preserve">Nellis AFB.  </w:t>
      </w:r>
      <w:r>
        <w:rPr>
          <w:color w:val="000000"/>
          <w:sz w:val="22"/>
        </w:rPr>
        <w:t>We have been told by the Contracting Officer this procurement is hung up on a problem of its negative impact on active USAF personnel positions; others in the USAF hierarchy have characterized it as "dead".  Action is for EFSI (Gang) to draft a letter requesting dispositive action (if it's dead, kill it officially), to provide us with a basis for a claim.</w:t>
      </w:r>
    </w:p>
    <w:p>
      <w:pPr>
        <w:pStyle w:val="Normal"/>
        <w:rPr>
          <w:color w:val="000000"/>
          <w:sz w:val="22"/>
        </w:rPr>
      </w:pPr>
      <w:r>
        <w:rPr>
          <w:color w:val="000000"/>
          <w:sz w:val="22"/>
        </w:rPr>
      </w:r>
    </w:p>
    <w:p>
      <w:pPr>
        <w:pStyle w:val="Normal"/>
        <w:rPr>
          <w:b/>
          <w:color w:val="000000"/>
          <w:sz w:val="22"/>
        </w:rPr>
      </w:pPr>
      <w:r>
        <w:rPr>
          <w:b/>
          <w:color w:val="000000"/>
          <w:sz w:val="22"/>
        </w:rPr>
        <w:t>Item</w:t>
      </w:r>
    </w:p>
    <w:p>
      <w:pPr>
        <w:pStyle w:val="Normal"/>
        <w:rPr/>
      </w:pPr>
      <w:r>
        <w:rPr>
          <w:b/>
          <w:color w:val="000000"/>
          <w:sz w:val="22"/>
        </w:rPr>
        <w:t>Peterson AFB</w:t>
      </w:r>
      <w:r>
        <w:rPr>
          <w:color w:val="000000"/>
          <w:sz w:val="22"/>
        </w:rPr>
        <w:t>.  Peterson has issued another privatization RFI similar to the one put on the street by USAFA, which looks like interest is limited to the local utility.  Action is for EFSI (Gang) to gather intel on motivation, and file a response similar to that for USAFA.  Gang, Frank, Kinsler will strategize.  Escalation within DoD and USAF are probable recommended courses of action, as this flies in the face of DRID #49.</w:t>
      </w:r>
    </w:p>
    <w:p>
      <w:pPr>
        <w:pStyle w:val="Normal"/>
        <w:rPr>
          <w:color w:val="000000"/>
          <w:sz w:val="22"/>
        </w:rPr>
      </w:pPr>
      <w:r>
        <w:rPr>
          <w:color w:val="000000"/>
          <w:sz w:val="22"/>
        </w:rPr>
      </w:r>
    </w:p>
    <w:p>
      <w:pPr>
        <w:pStyle w:val="Normal"/>
        <w:rPr>
          <w:b/>
          <w:color w:val="000000"/>
          <w:sz w:val="22"/>
        </w:rPr>
      </w:pPr>
      <w:r>
        <w:rPr>
          <w:b/>
          <w:color w:val="000000"/>
          <w:sz w:val="22"/>
        </w:rPr>
        <w:t>Item</w:t>
      </w:r>
    </w:p>
    <w:p>
      <w:pPr>
        <w:pStyle w:val="Normal"/>
        <w:rPr/>
      </w:pPr>
      <w:r>
        <w:rPr>
          <w:b/>
          <w:color w:val="000000"/>
          <w:sz w:val="22"/>
        </w:rPr>
        <w:t>Meeting with Randall Yim,</w:t>
      </w:r>
      <w:r>
        <w:rPr>
          <w:color w:val="000000"/>
          <w:sz w:val="22"/>
        </w:rPr>
        <w:t xml:space="preserve"> Deputy Undersecretary of Defense for Installations.  Mark Brawley, Project Manager for CA Office of Economic Adjustment, called to invite EFSI (Gang) to a meeting with Yim on 10/13 at 4 p.m. in Sacramento (Trade and Commerce Building).  This will be a small meeting intended to inform Yim of outsourcing progress in CA.  Ron Hicks will represent CSU/CU, on of our large customers; PG&amp;E will be there with one of their large customers.</w:t>
      </w:r>
    </w:p>
    <w:sectPr>
      <w:headerReference w:type="default" r:id="rId2"/>
      <w:headerReference w:type="first" r:id="rId3"/>
      <w:footerReference w:type="default" r:id="rId4"/>
      <w:footerReference w:type="first" r:id="rId5"/>
      <w:type w:val="nextPage"/>
      <w:pgSz w:w="12240" w:h="15840"/>
      <w:pgMar w:left="720" w:right="720" w:gutter="0" w:header="720" w:top="1872"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Rounded MT Bold">
    <w:charset w:val="00" w:characterSet="windows-1252"/>
    <w:family w:val="swiss"/>
    <w:pitch w:val="variable"/>
  </w:font>
  <w:font w:name="HELVETICA">
    <w:altName w:val="Arial"/>
    <w:charset w:val="00" w:characterSet="windows-1252"/>
    <w:family w:val="swiss"/>
    <w:pitch w:val="variable"/>
  </w:font>
  <w:font w:name="Helv">
    <w:altName w:val="Arial"/>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2</w:t>
    </w:r>
    <w:r>
      <w:rPr/>
      <w:fldChar w:fldCharType="end"/>
    </w:r>
    <w:r>
      <w:rPr/>
      <w:t xml:space="preserve"> of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40" w:end="40"/>
      <w:jc w:val="end"/>
      <w:rPr/>
    </w:pPr>
    <w:r>
      <w:rPr>
        <w:sz w:val="26"/>
      </w:rPr>
      <w:t xml:space="preserve">Federal Solutions </w:t>
    </w:r>
    <w:r>
      <w:rPr>
        <w:sz w:val="30"/>
      </w:rPr>
      <w:t>SIGNIFICANT EVENTS REPORT</w:t>
    </w:r>
  </w:p>
  <w:p>
    <w:pPr>
      <w:pStyle w:val="Header"/>
      <w:jc w:val="end"/>
      <w:rPr>
        <w:rFonts w:ascii="Arial Rounded MT Bold" w:hAnsi="Arial Rounded MT Bold" w:cs="Arial Rounded MT Bold"/>
        <w:b/>
        <w:color w:val="FF0000"/>
        <w:sz w:val="24"/>
      </w:rPr>
    </w:pPr>
    <w:r>
      <w:rPr>
        <w:rFonts w:cs="Arial Rounded MT Bold" w:ascii="Arial Rounded MT Bold" w:hAnsi="Arial Rounded MT Bold"/>
        <w:b/>
        <w:color w:val="FF0000"/>
        <w:sz w:val="24"/>
      </w:rPr>
      <w:t>September 18 - September 22, 1999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keepLines/>
      <w:numPr>
        <w:ilvl w:val="0"/>
        <w:numId w:val="1"/>
      </w:numPr>
      <w:spacing w:lineRule="atLeast" w:line="240"/>
      <w:ind w:firstLine="153" w:start="40" w:end="40"/>
      <w:outlineLvl w:val="0"/>
    </w:pPr>
    <w:rPr>
      <w:rFonts w:ascii="Arial Rounded MT Bold" w:hAnsi="Arial Rounded MT Bold" w:cs="Arial Rounded MT Bold"/>
      <w:b/>
      <w:color w:val="000080"/>
      <w:sz w:val="44"/>
    </w:rPr>
  </w:style>
  <w:style w:type="paragraph" w:styleId="Heading2">
    <w:name w:val="heading 2"/>
    <w:basedOn w:val="Normal"/>
    <w:next w:val="Normal"/>
    <w:qFormat/>
    <w:pPr>
      <w:keepNext w:val="true"/>
      <w:numPr>
        <w:ilvl w:val="1"/>
        <w:numId w:val="1"/>
      </w:numPr>
      <w:outlineLvl w:val="1"/>
    </w:pPr>
    <w:rPr>
      <w:rFonts w:ascii="HELVETICA" w:hAnsi="HELVETICA" w:cs="HELVETICA"/>
      <w:b/>
      <w:color w:val="0000FF"/>
    </w:rPr>
  </w:style>
  <w:style w:type="paragraph" w:styleId="Heading3">
    <w:name w:val="heading 3"/>
    <w:basedOn w:val="Normal"/>
    <w:next w:val="Normal"/>
    <w:qFormat/>
    <w:pPr>
      <w:keepNext w:val="true"/>
      <w:keepLines/>
      <w:numPr>
        <w:ilvl w:val="2"/>
        <w:numId w:val="1"/>
      </w:numPr>
      <w:tabs>
        <w:tab w:val="clear" w:pos="720"/>
        <w:tab w:val="left" w:pos="1620" w:leader="none"/>
        <w:tab w:val="left" w:pos="2610" w:leader="none"/>
        <w:tab w:val="left" w:pos="2700" w:leader="none"/>
      </w:tabs>
      <w:spacing w:lineRule="atLeast" w:line="240"/>
      <w:ind w:hanging="810" w:start="1620" w:end="0"/>
      <w:jc w:val="center"/>
      <w:outlineLvl w:val="2"/>
    </w:pPr>
    <w:rPr>
      <w:rFonts w:ascii="Helv" w:hAnsi="Helv" w:cs="Helv"/>
      <w:b/>
      <w:color w:val="FF0000"/>
      <w:sz w:val="28"/>
    </w:rPr>
  </w:style>
  <w:style w:type="paragraph" w:styleId="Heading4">
    <w:name w:val="heading 4"/>
    <w:basedOn w:val="Normal"/>
    <w:next w:val="Normal"/>
    <w:qFormat/>
    <w:pPr>
      <w:keepNext w:val="true"/>
      <w:numPr>
        <w:ilvl w:val="3"/>
        <w:numId w:val="1"/>
      </w:numPr>
      <w:spacing w:lineRule="atLeast" w:line="240"/>
      <w:ind w:hanging="0" w:start="720" w:end="0"/>
      <w:outlineLvl w:val="3"/>
    </w:pPr>
    <w:rPr>
      <w:rFonts w:ascii="HELVETICA" w:hAnsi="HELVETICA" w:cs="HELVETICA"/>
      <w:b/>
      <w:color w:val="0000FF"/>
    </w:rPr>
  </w:style>
  <w:style w:type="paragraph" w:styleId="Heading5">
    <w:name w:val="heading 5"/>
    <w:basedOn w:val="Normal"/>
    <w:next w:val="Normal"/>
    <w:qFormat/>
    <w:pPr>
      <w:keepNext w:val="true"/>
      <w:numPr>
        <w:ilvl w:val="4"/>
        <w:numId w:val="1"/>
      </w:numPr>
      <w:tabs>
        <w:tab w:val="clear" w:pos="720"/>
        <w:tab w:val="left" w:pos="0" w:leader="none"/>
      </w:tabs>
      <w:ind w:firstLine="720" w:start="0" w:end="0"/>
      <w:outlineLvl w:val="4"/>
    </w:pPr>
    <w:rPr>
      <w:rFonts w:ascii="HELVETICA" w:hAnsi="HELVETICA" w:cs="HELVETICA"/>
      <w:b/>
      <w:color w:val="FF0000"/>
      <w:sz w:val="22"/>
    </w:rPr>
  </w:style>
  <w:style w:type="paragraph" w:styleId="Heading6">
    <w:name w:val="heading 6"/>
    <w:basedOn w:val="Normal"/>
    <w:next w:val="Normal"/>
    <w:qFormat/>
    <w:pPr>
      <w:keepNext w:val="true"/>
      <w:numPr>
        <w:ilvl w:val="5"/>
        <w:numId w:val="1"/>
      </w:numPr>
      <w:tabs>
        <w:tab w:val="clear" w:pos="720"/>
        <w:tab w:val="left" w:pos="90" w:leader="none"/>
      </w:tabs>
      <w:ind w:hanging="0" w:start="720" w:end="0"/>
      <w:outlineLvl w:val="5"/>
    </w:pPr>
    <w:rPr>
      <w:b/>
      <w:color w:val="FF0000"/>
      <w:sz w:val="22"/>
    </w:rPr>
  </w:style>
  <w:style w:type="paragraph" w:styleId="Heading7">
    <w:name w:val="heading 7"/>
    <w:basedOn w:val="Normal"/>
    <w:next w:val="Normal"/>
    <w:qFormat/>
    <w:pPr>
      <w:keepNext w:val="true"/>
      <w:numPr>
        <w:ilvl w:val="6"/>
        <w:numId w:val="1"/>
      </w:numPr>
      <w:ind w:firstLine="720" w:start="0" w:end="0"/>
      <w:outlineLvl w:val="6"/>
    </w:pPr>
    <w:rPr>
      <w:rFonts w:ascii="HELVETICA" w:hAnsi="HELVETICA" w:cs="HELVETICA"/>
      <w:b/>
      <w:color w:val="0000FF"/>
    </w:rPr>
  </w:style>
  <w:style w:type="paragraph" w:styleId="Heading8">
    <w:name w:val="heading 8"/>
    <w:basedOn w:val="Normal"/>
    <w:next w:val="Normal"/>
    <w:qFormat/>
    <w:pPr>
      <w:keepNext w:val="true"/>
      <w:numPr>
        <w:ilvl w:val="7"/>
        <w:numId w:val="1"/>
      </w:numPr>
      <w:spacing w:lineRule="atLeast" w:line="240"/>
      <w:ind w:hanging="0" w:start="720" w:end="0"/>
      <w:outlineLvl w:val="7"/>
    </w:pPr>
    <w:rPr>
      <w:rFonts w:ascii="Helv" w:hAnsi="Helv" w:cs="Helv"/>
      <w:b/>
      <w:color w:val="000000"/>
    </w:rPr>
  </w:style>
  <w:style w:type="paragraph" w:styleId="Heading9">
    <w:name w:val="heading 9"/>
    <w:basedOn w:val="Normal"/>
    <w:next w:val="Normal"/>
    <w:qFormat/>
    <w:pPr>
      <w:keepNext w:val="true"/>
      <w:numPr>
        <w:ilvl w:val="8"/>
        <w:numId w:val="1"/>
      </w:numPr>
      <w:spacing w:lineRule="atLeast" w:line="240"/>
      <w:ind w:hanging="0" w:start="810" w:end="0"/>
      <w:jc w:val="center"/>
      <w:outlineLvl w:val="8"/>
    </w:pPr>
    <w:rPr>
      <w:rFonts w:ascii="Helv" w:hAnsi="Helv" w:cs="Helv"/>
      <w:b/>
      <w:color w:val="000080"/>
      <w:sz w:val="28"/>
      <w:effect w:val="blinkBackground"/>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style>
  <w:style w:type="character" w:styleId="WW8Num7z0">
    <w:name w:val="WW8Num7z0"/>
    <w:qFormat/>
    <w:rPr>
      <w:rFonts w:ascii="Wingdings" w:hAnsi="Wingdings" w:cs="Wingdings"/>
    </w:rPr>
  </w:style>
  <w:style w:type="character" w:styleId="WW8Num9z1">
    <w:name w:val="WW8Num9z1"/>
    <w:qFormat/>
    <w:rPr/>
  </w:style>
  <w:style w:type="character" w:styleId="WW8Num10z1">
    <w:name w:val="WW8Num10z1"/>
    <w:qFormat/>
    <w:rPr/>
  </w:style>
  <w:style w:type="character" w:styleId="WW8Num11z1">
    <w:name w:val="WW8Num11z1"/>
    <w:qFormat/>
    <w:rPr>
      <w:rFonts w:ascii="Symbol" w:hAnsi="Symbol" w:cs="Symbol"/>
      <w:color w:val="auto"/>
      <w:sz w:val="28"/>
    </w:rPr>
  </w:style>
  <w:style w:type="character" w:styleId="WW8Num12z1">
    <w:name w:val="WW8Num12z1"/>
    <w:qFormat/>
    <w:rPr/>
  </w:style>
  <w:style w:type="character" w:styleId="WW8Num13z1">
    <w:name w:val="WW8Num13z1"/>
    <w:qFormat/>
    <w:rPr>
      <w:rFonts w:ascii="Symbol" w:hAnsi="Symbol" w:cs="Symbol"/>
      <w:color w:val="auto"/>
      <w:sz w:val="28"/>
    </w:rPr>
  </w:style>
  <w:style w:type="character" w:styleId="WW8Num14z1">
    <w:name w:val="WW8Num14z1"/>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1">
    <w:name w:val="WW8Num20z1"/>
    <w:qFormat/>
    <w:rPr>
      <w:rFonts w:ascii="Symbol" w:hAnsi="Symbol" w:cs="Symbol"/>
      <w:color w:val="auto"/>
      <w:sz w:val="28"/>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sz w:val="16"/>
    </w:rPr>
  </w:style>
  <w:style w:type="character" w:styleId="WW8Num23z0">
    <w:name w:val="WW8Num23z0"/>
    <w:qFormat/>
    <w:rPr>
      <w:rFonts w:ascii="Symbol" w:hAnsi="Symbol" w:cs="Symbol"/>
    </w:rPr>
  </w:style>
  <w:style w:type="character" w:styleId="WW8Num24z0">
    <w:name w:val="WW8Num24z0"/>
    <w:qFormat/>
    <w:rPr/>
  </w:style>
  <w:style w:type="character" w:styleId="WW8Num25z1">
    <w:name w:val="WW8Num25z1"/>
    <w:qFormat/>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1z1">
    <w:name w:val="WW8Num31z1"/>
    <w:qFormat/>
    <w:rPr>
      <w:rFonts w:ascii="Symbol" w:hAnsi="Symbol" w:cs="Symbol"/>
      <w:color w:val="auto"/>
      <w:sz w:val="28"/>
    </w:rPr>
  </w:style>
  <w:style w:type="character" w:styleId="WW8Num32z0">
    <w:name w:val="WW8Num32z0"/>
    <w:qFormat/>
    <w:rPr>
      <w:rFonts w:ascii="Symbol" w:hAnsi="Symbol" w:cs="Symbol"/>
    </w:rPr>
  </w:style>
  <w:style w:type="character" w:styleId="WW8Num33z1">
    <w:name w:val="WW8Num33z1"/>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7z1">
    <w:name w:val="WW8Num37z1"/>
    <w:qFormat/>
    <w:rPr/>
  </w:style>
  <w:style w:type="character" w:styleId="WW8Num38z1">
    <w:name w:val="WW8Num38z1"/>
    <w:qFormat/>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1">
    <w:name w:val="WW8Num45z1"/>
    <w:qFormat/>
    <w:rPr>
      <w:rFonts w:ascii="Symbol" w:hAnsi="Symbol" w:cs="Symbol"/>
      <w:color w:val="auto"/>
      <w:sz w:val="28"/>
    </w:rPr>
  </w:style>
  <w:style w:type="character" w:styleId="WW8Num46z1">
    <w:name w:val="WW8Num46z1"/>
    <w:qFormat/>
    <w:rPr/>
  </w:style>
  <w:style w:type="character" w:styleId="WW8Num48z0">
    <w:name w:val="WW8Num48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1">
    <w:name w:val="WW8Num52z1"/>
    <w:qFormat/>
    <w:rPr/>
  </w:style>
  <w:style w:type="character" w:styleId="WW8Num54z1">
    <w:name w:val="WW8Num54z1"/>
    <w:qFormat/>
    <w:rPr/>
  </w:style>
  <w:style w:type="character" w:styleId="WW8Num55z0">
    <w:name w:val="WW8Num55z0"/>
    <w:qFormat/>
    <w:rPr/>
  </w:style>
  <w:style w:type="character" w:styleId="WW8Num56z0">
    <w:name w:val="WW8Num56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rFonts w:ascii="Wingdings" w:hAnsi="Wingdings" w:cs="Wingdings"/>
    </w:rPr>
  </w:style>
  <w:style w:type="character" w:styleId="WW8Num64z0">
    <w:name w:val="WW8Num64z0"/>
    <w:qFormat/>
    <w:rPr>
      <w:rFonts w:ascii="Wingdings" w:hAnsi="Wingdings" w:cs="Wingdings"/>
      <w:color w:val="auto"/>
    </w:rPr>
  </w:style>
  <w:style w:type="character" w:styleId="WW8Num65z0">
    <w:name w:val="WW8Num65z0"/>
    <w:qFormat/>
    <w:rPr>
      <w:rFonts w:ascii="Symbol" w:hAnsi="Symbol" w:cs="Symbol"/>
    </w:rPr>
  </w:style>
  <w:style w:type="character" w:styleId="WW8Num66z0">
    <w:name w:val="WW8Num66z0"/>
    <w:qFormat/>
    <w:rPr/>
  </w:style>
  <w:style w:type="character" w:styleId="WW8Num68z1">
    <w:name w:val="WW8Num68z1"/>
    <w:qFormat/>
    <w:rPr/>
  </w:style>
  <w:style w:type="character" w:styleId="WW8Num69z0">
    <w:name w:val="WW8Num69z0"/>
    <w:qFormat/>
    <w:rPr>
      <w:rFonts w:ascii="Wingdings" w:hAnsi="Wingdings" w:cs="Wingdings"/>
    </w:rPr>
  </w:style>
  <w:style w:type="character" w:styleId="WW8Num70z1">
    <w:name w:val="WW8Num70z1"/>
    <w:qFormat/>
    <w:rPr/>
  </w:style>
  <w:style w:type="character" w:styleId="WW8Num71z0">
    <w:name w:val="WW8Num71z0"/>
    <w:qFormat/>
    <w:rPr>
      <w:rFonts w:ascii="Wingdings" w:hAnsi="Wingdings" w:cs="Wingdings"/>
    </w:rPr>
  </w:style>
  <w:style w:type="character" w:styleId="WW8Num72z1">
    <w:name w:val="WW8Num72z1"/>
    <w:qFormat/>
    <w:rPr/>
  </w:style>
  <w:style w:type="character" w:styleId="WW8Num73z0">
    <w:name w:val="WW8Num73z0"/>
    <w:qFormat/>
    <w:rPr/>
  </w:style>
  <w:style w:type="character" w:styleId="WW8Num74z1">
    <w:name w:val="WW8Num74z1"/>
    <w:qFormat/>
    <w:rPr/>
  </w:style>
  <w:style w:type="character" w:styleId="WW8Num75z1">
    <w:name w:val="WW8Num75z1"/>
    <w:qFormat/>
    <w:rPr/>
  </w:style>
  <w:style w:type="character" w:styleId="WW8Num76z0">
    <w:name w:val="WW8Num76z0"/>
    <w:qFormat/>
    <w:rPr>
      <w:rFonts w:ascii="Symbol" w:hAnsi="Symbol" w:cs="Symbol"/>
    </w:rPr>
  </w:style>
  <w:style w:type="character" w:styleId="WW8Num78z0">
    <w:name w:val="WW8Num78z0"/>
    <w:qFormat/>
    <w:rPr/>
  </w:style>
  <w:style w:type="character" w:styleId="WW8Num79z0">
    <w:name w:val="WW8Num79z0"/>
    <w:qFormat/>
    <w:rPr/>
  </w:style>
  <w:style w:type="character" w:styleId="WW8Num80z0">
    <w:name w:val="WW8Num80z0"/>
    <w:qFormat/>
    <w:rPr>
      <w:rFonts w:ascii="Symbol" w:hAnsi="Symbol" w:cs="Symbol"/>
      <w:color w:val="0000FF"/>
    </w:rPr>
  </w:style>
  <w:style w:type="character" w:styleId="WW8Num81z1">
    <w:name w:val="WW8Num81z1"/>
    <w:qFormat/>
    <w:rPr/>
  </w:style>
  <w:style w:type="character" w:styleId="WW8Num82z1">
    <w:name w:val="WW8Num82z1"/>
    <w:qFormat/>
    <w:rPr/>
  </w:style>
  <w:style w:type="character" w:styleId="WW8Num83z1">
    <w:name w:val="WW8Num83z1"/>
    <w:qFormat/>
    <w:rPr>
      <w:rFonts w:ascii="Symbol" w:hAnsi="Symbol" w:cs="Symbol"/>
      <w:color w:val="auto"/>
      <w:sz w:val="28"/>
    </w:rPr>
  </w:style>
  <w:style w:type="character" w:styleId="WW8Num84z0">
    <w:name w:val="WW8Num84z0"/>
    <w:qFormat/>
    <w:rPr/>
  </w:style>
  <w:style w:type="character" w:styleId="WW8Num86z1">
    <w:name w:val="WW8Num86z1"/>
    <w:qFormat/>
    <w:rPr/>
  </w:style>
  <w:style w:type="character" w:styleId="WW8Num87z0">
    <w:name w:val="WW8Num87z0"/>
    <w:qFormat/>
    <w:rPr>
      <w:rFonts w:ascii="Symbol" w:hAnsi="Symbol" w:cs="Symbol"/>
    </w:rPr>
  </w:style>
  <w:style w:type="character" w:styleId="WW8Num89z0">
    <w:name w:val="WW8Num89z0"/>
    <w:qFormat/>
    <w:rPr>
      <w:rFonts w:ascii="Times New Roman" w:hAnsi="Times New Roman" w:cs="Times New Roman"/>
    </w:rPr>
  </w:style>
  <w:style w:type="character" w:styleId="WW8Num90z0">
    <w:name w:val="WW8Num90z0"/>
    <w:qFormat/>
    <w:rPr/>
  </w:style>
  <w:style w:type="character" w:styleId="WW8Num91z0">
    <w:name w:val="WW8Num91z0"/>
    <w:qFormat/>
    <w:rPr>
      <w:rFonts w:ascii="Wingdings" w:hAnsi="Wingdings" w:cs="Wingdings"/>
    </w:rPr>
  </w:style>
  <w:style w:type="character" w:styleId="WW8Num92z0">
    <w:name w:val="WW8Num92z0"/>
    <w:qFormat/>
    <w:rPr/>
  </w:style>
  <w:style w:type="character" w:styleId="WW8Num94z0">
    <w:name w:val="WW8Num94z0"/>
    <w:qFormat/>
    <w:rPr>
      <w:rFonts w:ascii="Wingdings" w:hAnsi="Wingdings" w:cs="Wingdings"/>
    </w:rPr>
  </w:style>
  <w:style w:type="character" w:styleId="WW8Num95z1">
    <w:name w:val="WW8Num95z1"/>
    <w:qFormat/>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Wingdings" w:hAnsi="Wingdings" w:cs="Wingdings"/>
    </w:rPr>
  </w:style>
  <w:style w:type="character" w:styleId="WW8Num99z0">
    <w:name w:val="WW8Num99z0"/>
    <w:qFormat/>
    <w:rPr>
      <w:rFonts w:ascii="Wingdings" w:hAnsi="Wingdings" w:cs="Wingdings"/>
    </w:rPr>
  </w:style>
  <w:style w:type="character" w:styleId="WW8Num101z0">
    <w:name w:val="WW8Num101z0"/>
    <w:qFormat/>
    <w:rPr/>
  </w:style>
  <w:style w:type="character" w:styleId="WW8Num102z1">
    <w:name w:val="WW8Num102z1"/>
    <w:qFormat/>
    <w:rPr/>
  </w:style>
  <w:style w:type="character" w:styleId="WW8Num103z0">
    <w:name w:val="WW8Num103z0"/>
    <w:qFormat/>
    <w:rPr>
      <w:rFonts w:ascii="Wingdings" w:hAnsi="Wingdings" w:cs="Wingdings"/>
      <w:color w:val="auto"/>
    </w:rPr>
  </w:style>
  <w:style w:type="character" w:styleId="WW8Num105z0">
    <w:name w:val="WW8Num105z0"/>
    <w:qFormat/>
    <w:rPr>
      <w:rFonts w:ascii="Symbol" w:hAnsi="Symbol" w:cs="Symbol"/>
    </w:rPr>
  </w:style>
  <w:style w:type="character" w:styleId="WW8Num106z0">
    <w:name w:val="WW8Num106z0"/>
    <w:qFormat/>
    <w:rPr>
      <w:rFonts w:ascii="Wingdings" w:hAnsi="Wingdings" w:cs="Wingdings"/>
    </w:rPr>
  </w:style>
  <w:style w:type="character" w:styleId="WW8Num107z1">
    <w:name w:val="WW8Num107z1"/>
    <w:qFormat/>
    <w:rPr/>
  </w:style>
  <w:style w:type="character" w:styleId="WW8Num108z1">
    <w:name w:val="WW8Num108z1"/>
    <w:qFormat/>
    <w:rPr/>
  </w:style>
  <w:style w:type="character" w:styleId="WW8Num109z1">
    <w:name w:val="WW8Num109z1"/>
    <w:qFormat/>
    <w:rPr/>
  </w:style>
  <w:style w:type="character" w:styleId="WW8Num110z1">
    <w:name w:val="WW8Num110z1"/>
    <w:qFormat/>
    <w:rPr/>
  </w:style>
  <w:style w:type="character" w:styleId="WW8Num111z0">
    <w:name w:val="WW8Num111z0"/>
    <w:qFormat/>
    <w:rPr/>
  </w:style>
  <w:style w:type="character" w:styleId="WW8Num112z0">
    <w:name w:val="WW8Num112z0"/>
    <w:qFormat/>
    <w:rPr>
      <w:rFonts w:ascii="Symbol" w:hAnsi="Symbol" w:cs="Symbol"/>
    </w:rPr>
  </w:style>
  <w:style w:type="character" w:styleId="WW8Num114z0">
    <w:name w:val="WW8Num114z0"/>
    <w:qFormat/>
    <w:rPr>
      <w:rFonts w:ascii="Wingdings" w:hAnsi="Wingdings" w:cs="Wingdings"/>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style>
  <w:style w:type="character" w:styleId="WW8Num118z1">
    <w:name w:val="WW8Num118z1"/>
    <w:qFormat/>
    <w:rPr/>
  </w:style>
  <w:style w:type="character" w:styleId="WW8Num119z1">
    <w:name w:val="WW8Num119z1"/>
    <w:qFormat/>
    <w:rPr>
      <w:rFonts w:ascii="Symbol" w:hAnsi="Symbol" w:cs="Symbol"/>
      <w:color w:val="auto"/>
      <w:sz w:val="28"/>
    </w:rPr>
  </w:style>
  <w:style w:type="character" w:styleId="WW8Num120z0">
    <w:name w:val="WW8Num120z0"/>
    <w:qFormat/>
    <w:rPr>
      <w:rFonts w:ascii="Wingdings" w:hAnsi="Wingdings" w:cs="Wingdings"/>
    </w:rPr>
  </w:style>
  <w:style w:type="character" w:styleId="WW8Num121z1">
    <w:name w:val="WW8Num121z1"/>
    <w:qFormat/>
    <w:rPr/>
  </w:style>
  <w:style w:type="character" w:styleId="WW8Num123z0">
    <w:name w:val="WW8Num123z0"/>
    <w:qFormat/>
    <w:rPr>
      <w:rFonts w:ascii="Wingdings" w:hAnsi="Wingdings" w:cs="Wingdings"/>
    </w:rPr>
  </w:style>
  <w:style w:type="character" w:styleId="WW8Num124z0">
    <w:name w:val="WW8Num124z0"/>
    <w:qFormat/>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St3z0">
    <w:name w:val="WW8NumSt3z0"/>
    <w:qFormat/>
    <w:rPr>
      <w:rFonts w:ascii="Symbol" w:hAnsi="Symbol" w:cs="Symbol"/>
    </w:rPr>
  </w:style>
  <w:style w:type="character" w:styleId="WW8NumSt123z0">
    <w:name w:val="WW8NumSt123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Helv" w:hAnsi="Helv" w:cs="Helv"/>
      <w:color w:val="00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270"/>
    </w:pPr>
    <w:rPr>
      <w:rFonts w:ascii="HELVETICA" w:hAnsi="HELVETICA" w:cs="HELVETICA"/>
      <w:b/>
      <w:color w:val="FF0000"/>
    </w:rPr>
  </w:style>
  <w:style w:type="paragraph" w:styleId="BodyTextIndent">
    <w:name w:val="Body Text Indent"/>
    <w:basedOn w:val="Normal"/>
    <w:pPr>
      <w:spacing w:lineRule="atLeast" w:line="240"/>
    </w:pPr>
    <w:rPr>
      <w:b/>
      <w:color w:val="000000"/>
      <w:sz w:val="22"/>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0" w:start="720" w:end="0"/>
    </w:pPr>
    <w:rPr>
      <w:rFonts w:ascii="Helv" w:hAnsi="Helv" w:cs="Helv"/>
      <w:color w:val="000000"/>
    </w:rPr>
  </w:style>
  <w:style w:type="paragraph" w:styleId="BodyTextIndent3">
    <w:name w:val="Body Text Indent 3"/>
    <w:basedOn w:val="Normal"/>
    <w:qFormat/>
    <w:pPr>
      <w:ind w:firstLine="720" w:start="0" w:end="0"/>
    </w:pPr>
    <w:rPr>
      <w:rFonts w:ascii="HELVETICA" w:hAnsi="HELVETICA" w:cs="HELVETICA"/>
      <w:color w:val="0000F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3">
    <w:name w:val="Body Text 3"/>
    <w:basedOn w:val="Normal"/>
    <w:qFormat/>
    <w:pPr/>
    <w:rPr>
      <w:i/>
      <w:sz w:val="24"/>
    </w:rPr>
  </w:style>
  <w:style w:type="paragraph" w:styleId="BodyText2">
    <w:name w:val="Body Text 2"/>
    <w:basedOn w:val="Normal"/>
    <w:qFormat/>
    <w:pPr>
      <w:spacing w:lineRule="atLeast" w:line="240"/>
      <w:jc w:val="both"/>
    </w:pPr>
    <w:rPr>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1999-09-28T21:12:00Z</dcterms:created>
  <dc:creator>Stefanie Manchaca</dc:creator>
  <dc:description/>
  <dc:language>en-CA</dc:language>
  <cp:lastModifiedBy>nlauzier</cp:lastModifiedBy>
  <cp:lastPrinted>1999-09-02T12:10:00Z</cp:lastPrinted>
  <dcterms:modified xsi:type="dcterms:W3CDTF">1999-09-30T13:41:00Z</dcterms:modified>
  <cp:revision>21</cp:revision>
  <dc:subject/>
  <dc:title>ENRON</dc:title>
</cp:coreProperties>
</file>