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rPr>
      </w:pPr>
      <w:r>
        <w:rPr/>
        <w:t>Tokyo Aoyama Law Office</w:t>
      </w:r>
    </w:p>
    <w:p>
      <w:pPr>
        <w:pStyle w:val="Normal"/>
        <w:jc w:val="center"/>
        <w:rPr>
          <w:caps/>
          <w:spacing w:val="-2"/>
          <w:sz w:val="14"/>
          <w:lang w:val="en-CA"/>
        </w:rPr>
      </w:pPr>
      <w:r>
        <w:rPr>
          <w:caps/>
          <w:spacing w:val="-2"/>
          <w:sz w:val="14"/>
          <w:lang w:val="en-CA"/>
        </w:rPr>
        <w:t>attorneys at law</w:t>
      </w:r>
    </w:p>
    <w:p>
      <w:pPr>
        <w:pStyle w:val="Heading1"/>
        <w:ind w:hanging="0" w:start="0"/>
        <w:rPr>
          <w:caps/>
          <w:lang w:val="en-CA"/>
        </w:rPr>
      </w:pPr>
      <w:r>
        <w:rPr/>
        <w:t xml:space="preserve">Baker &amp; McKenzie </w:t>
      </w:r>
    </w:p>
    <w:p>
      <w:pPr>
        <w:pStyle w:val="Normal"/>
        <w:jc w:val="center"/>
        <w:rPr>
          <w:caps/>
          <w:sz w:val="8"/>
          <w:lang w:val="en-CA"/>
        </w:rPr>
      </w:pPr>
      <w:r>
        <w:rPr>
          <w:caps/>
          <w:sz w:val="8"/>
          <w:lang w:val="en-CA"/>
        </w:rPr>
      </w:r>
    </w:p>
    <w:p>
      <w:pPr>
        <w:pStyle w:val="Normal"/>
        <w:jc w:val="center"/>
        <w:rPr>
          <w:caps/>
          <w:spacing w:val="-2"/>
          <w:sz w:val="14"/>
          <w:lang w:val="en-CA"/>
        </w:rPr>
      </w:pPr>
      <w:r>
        <w:rPr>
          <w:caps/>
          <w:spacing w:val="-2"/>
          <w:sz w:val="14"/>
          <w:lang w:val="en-CA"/>
        </w:rPr>
        <w:t>attorney at foreign law office</w:t>
      </w:r>
    </w:p>
    <w:p>
      <w:pPr>
        <w:pStyle w:val="Normal"/>
        <w:jc w:val="center"/>
        <w:rPr>
          <w:caps/>
          <w:spacing w:val="-2"/>
          <w:sz w:val="8"/>
          <w:lang w:val="en-CA"/>
        </w:rPr>
      </w:pPr>
      <w:r>
        <w:rPr>
          <w:caps/>
          <w:spacing w:val="-2"/>
          <w:sz w:val="8"/>
          <w:lang w:val="en-CA"/>
        </w:rPr>
      </w:r>
    </w:p>
    <w:p>
      <w:pPr>
        <w:pStyle w:val="Normal"/>
        <w:jc w:val="center"/>
        <w:rPr>
          <w:caps/>
          <w:spacing w:val="-2"/>
          <w:sz w:val="14"/>
          <w:lang w:val="en-CA"/>
        </w:rPr>
      </w:pPr>
      <w:r>
        <w:rPr>
          <w:caps/>
          <w:spacing w:val="-2"/>
          <w:sz w:val="14"/>
          <w:lang w:val="en-CA"/>
        </w:rPr>
        <w:t>qualified joint enterprise offices</w:t>
      </w:r>
    </w:p>
    <w:p>
      <w:pPr>
        <w:pStyle w:val="Normal"/>
        <w:rPr>
          <w:caps/>
          <w:spacing w:val="-2"/>
          <w:sz w:val="14"/>
          <w:lang w:val="en-CA"/>
        </w:rPr>
      </w:pPr>
      <w:r>
        <w:rPr>
          <w:caps/>
          <w:spacing w:val="-2"/>
          <w:sz w:val="14"/>
          <w:lang w:val="en-CA"/>
        </w:rPr>
      </w:r>
    </w:p>
    <w:p>
      <w:pPr>
        <w:pStyle w:val="Normal"/>
        <w:numPr>
          <w:ilvl w:val="0"/>
          <w:numId w:val="0"/>
        </w:numPr>
        <w:jc w:val="center"/>
        <w:outlineLvl w:val="0"/>
        <w:rPr>
          <w:b/>
          <w:sz w:val="32"/>
        </w:rPr>
      </w:pPr>
      <w:r>
        <w:rPr>
          <w:b/>
          <w:sz w:val="32"/>
        </w:rPr>
        <w:t>MEMORANDUM</w:t>
      </w:r>
    </w:p>
    <w:p>
      <w:pPr>
        <w:pStyle w:val="Normal"/>
        <w:jc w:val="center"/>
        <w:rPr>
          <w:b/>
          <w:sz w:val="32"/>
        </w:rPr>
      </w:pPr>
      <w:r>
        <w:rPr>
          <w:b/>
          <w:sz w:val="32"/>
        </w:rPr>
      </w:r>
    </w:p>
    <w:tbl>
      <w:tblPr>
        <w:tblW w:w="9198" w:type="dxa"/>
        <w:jc w:val="start"/>
        <w:tblInd w:w="0" w:type="dxa"/>
        <w:tblLayout w:type="fixed"/>
        <w:tblCellMar>
          <w:top w:w="0" w:type="dxa"/>
          <w:start w:w="108" w:type="dxa"/>
          <w:bottom w:w="0" w:type="dxa"/>
          <w:end w:w="108" w:type="dxa"/>
        </w:tblCellMar>
      </w:tblPr>
      <w:tblGrid>
        <w:gridCol w:w="1101"/>
        <w:gridCol w:w="8097"/>
      </w:tblGrid>
      <w:tr>
        <w:trPr/>
        <w:tc>
          <w:tcPr>
            <w:tcW w:w="1101" w:type="dxa"/>
            <w:tcBorders/>
          </w:tcPr>
          <w:p>
            <w:pPr>
              <w:pStyle w:val="Normal"/>
              <w:ind w:end="-90"/>
              <w:jc w:val="start"/>
              <w:rPr/>
            </w:pPr>
            <w:r>
              <w:rPr>
                <w:rFonts w:eastAsia="ＭＳ ゴシック;MS Gothic"/>
                <w:b/>
                <w:lang w:eastAsia="ja-JP"/>
              </w:rPr>
              <w:t>TO</w:t>
            </w:r>
            <w:r>
              <w:rPr>
                <w:rFonts w:eastAsia="ＭＳ ゴシック;MS Gothic"/>
                <w:b/>
                <w:lang w:eastAsia="ja-JP"/>
              </w:rPr>
              <w:t>:</w:t>
            </w:r>
          </w:p>
        </w:tc>
        <w:tc>
          <w:tcPr>
            <w:tcW w:w="8097" w:type="dxa"/>
            <w:tcBorders/>
          </w:tcPr>
          <w:p>
            <w:pPr>
              <w:pStyle w:val="Normal"/>
              <w:ind w:end="-90"/>
              <w:rPr>
                <w:rFonts w:eastAsia="ＭＳ ゴシック;MS Gothic"/>
                <w:lang w:eastAsia="ja-JP"/>
              </w:rPr>
            </w:pPr>
            <w:r>
              <w:rPr/>
              <w:t>JOHN VIVERITO, ENRON JAPAN KK</w:t>
            </w:r>
          </w:p>
        </w:tc>
      </w:tr>
      <w:tr>
        <w:trPr>
          <w:trHeight w:val="120" w:hRule="exact"/>
        </w:trPr>
        <w:tc>
          <w:tcPr>
            <w:tcW w:w="9198" w:type="dxa"/>
            <w:gridSpan w:val="2"/>
            <w:tcBorders/>
          </w:tcPr>
          <w:p>
            <w:pPr>
              <w:pStyle w:val="Normal"/>
              <w:snapToGrid w:val="false"/>
              <w:ind w:end="-90"/>
              <w:rPr>
                <w:rFonts w:eastAsia="ＭＳ ゴシック;MS Gothic"/>
                <w:lang w:eastAsia="ja-JP"/>
              </w:rPr>
            </w:pPr>
            <w:r>
              <w:rPr>
                <w:rFonts w:eastAsia="ＭＳ ゴシック;MS Gothic"/>
                <w:lang w:eastAsia="ja-JP"/>
              </w:rPr>
            </w:r>
          </w:p>
        </w:tc>
      </w:tr>
      <w:tr>
        <w:trPr/>
        <w:tc>
          <w:tcPr>
            <w:tcW w:w="1101" w:type="dxa"/>
            <w:tcBorders/>
          </w:tcPr>
          <w:p>
            <w:pPr>
              <w:pStyle w:val="Normal"/>
              <w:ind w:end="-90"/>
              <w:jc w:val="start"/>
              <w:rPr/>
            </w:pPr>
            <w:r>
              <w:rPr>
                <w:rFonts w:eastAsia="ＭＳ ゴシック;MS Gothic"/>
                <w:b/>
                <w:lang w:eastAsia="ja-JP"/>
              </w:rPr>
              <w:t>CC</w:t>
            </w:r>
            <w:r>
              <w:rPr>
                <w:rFonts w:eastAsia="ＭＳ ゴシック;MS Gothic"/>
                <w:b/>
                <w:lang w:eastAsia="ja-JP"/>
              </w:rPr>
              <w:t>:</w:t>
            </w:r>
          </w:p>
        </w:tc>
        <w:tc>
          <w:tcPr>
            <w:tcW w:w="8097" w:type="dxa"/>
            <w:tcBorders/>
          </w:tcPr>
          <w:p>
            <w:pPr>
              <w:pStyle w:val="Normal"/>
              <w:ind w:end="-90"/>
              <w:rPr/>
            </w:pPr>
            <w:r>
              <w:rPr/>
              <w:t>NAOAKI EGUCHI AND SHINJI TOYOHARA</w:t>
            </w:r>
          </w:p>
        </w:tc>
      </w:tr>
      <w:tr>
        <w:trPr>
          <w:trHeight w:val="120" w:hRule="exact"/>
        </w:trPr>
        <w:tc>
          <w:tcPr>
            <w:tcW w:w="9198" w:type="dxa"/>
            <w:gridSpan w:val="2"/>
            <w:tcBorders/>
          </w:tcPr>
          <w:p>
            <w:pPr>
              <w:pStyle w:val="Normal"/>
              <w:snapToGrid w:val="false"/>
              <w:ind w:end="-90"/>
              <w:rPr/>
            </w:pPr>
            <w:r>
              <w:rPr/>
            </w:r>
          </w:p>
        </w:tc>
      </w:tr>
      <w:tr>
        <w:trPr/>
        <w:tc>
          <w:tcPr>
            <w:tcW w:w="1101" w:type="dxa"/>
            <w:tcBorders/>
          </w:tcPr>
          <w:p>
            <w:pPr>
              <w:pStyle w:val="Normal"/>
              <w:ind w:end="-90"/>
              <w:jc w:val="start"/>
              <w:rPr>
                <w:rFonts w:eastAsia="ＭＳ ゴシック;MS Gothic"/>
                <w:b/>
                <w:lang w:eastAsia="ja-JP"/>
              </w:rPr>
            </w:pPr>
            <w:r>
              <w:rPr>
                <w:rFonts w:eastAsia="ＭＳ ゴシック;MS Gothic"/>
                <w:b/>
                <w:lang w:eastAsia="ja-JP"/>
              </w:rPr>
              <w:t>FROM:</w:t>
            </w:r>
          </w:p>
        </w:tc>
        <w:tc>
          <w:tcPr>
            <w:tcW w:w="8097" w:type="dxa"/>
            <w:tcBorders/>
          </w:tcPr>
          <w:p>
            <w:pPr>
              <w:pStyle w:val="Normal"/>
              <w:ind w:end="-90"/>
              <w:rPr/>
            </w:pPr>
            <w:r>
              <w:rPr/>
              <w:t>PAUL DAVIS</w:t>
            </w:r>
            <w:r>
              <w:rPr>
                <w:rStyle w:val="FootnoteCharacters"/>
                <w:rStyle w:val="FootnoteReference"/>
              </w:rPr>
              <w:footnoteReference w:id="2"/>
            </w:r>
            <w:r>
              <w:rPr/>
              <w:t xml:space="preserve"> AND JEREMY PITTS</w:t>
            </w:r>
            <w:r>
              <w:rPr>
                <w:rStyle w:val="FootnoteCharacters"/>
                <w:rStyle w:val="FootnoteReference"/>
              </w:rPr>
              <w:footnoteReference w:id="3"/>
            </w:r>
          </w:p>
        </w:tc>
      </w:tr>
      <w:tr>
        <w:trPr>
          <w:trHeight w:val="120" w:hRule="exact"/>
        </w:trPr>
        <w:tc>
          <w:tcPr>
            <w:tcW w:w="9198" w:type="dxa"/>
            <w:gridSpan w:val="2"/>
            <w:tcBorders/>
          </w:tcPr>
          <w:p>
            <w:pPr>
              <w:pStyle w:val="Normal"/>
              <w:snapToGrid w:val="false"/>
              <w:ind w:end="-90"/>
              <w:rPr/>
            </w:pPr>
            <w:r>
              <w:rPr/>
            </w:r>
          </w:p>
        </w:tc>
      </w:tr>
      <w:tr>
        <w:trPr>
          <w:trHeight w:val="142" w:hRule="atLeast"/>
        </w:trPr>
        <w:tc>
          <w:tcPr>
            <w:tcW w:w="1101" w:type="dxa"/>
            <w:tcBorders/>
          </w:tcPr>
          <w:p>
            <w:pPr>
              <w:pStyle w:val="Normal"/>
              <w:ind w:end="-90"/>
              <w:jc w:val="start"/>
              <w:rPr/>
            </w:pPr>
            <w:r>
              <w:rPr>
                <w:rFonts w:eastAsia="ＭＳ ゴシック;MS Gothic"/>
                <w:b/>
                <w:lang w:eastAsia="ja-JP"/>
              </w:rPr>
              <w:t>DATE</w:t>
            </w:r>
            <w:r>
              <w:rPr>
                <w:rFonts w:eastAsia="ＭＳ ゴシック;MS Gothic"/>
                <w:b/>
                <w:lang w:eastAsia="ja-JP"/>
              </w:rPr>
              <w:t>:</w:t>
            </w:r>
          </w:p>
        </w:tc>
        <w:tc>
          <w:tcPr>
            <w:tcW w:w="8097" w:type="dxa"/>
            <w:tcBorders/>
          </w:tcPr>
          <w:p>
            <w:pPr>
              <w:pStyle w:val="Normal"/>
              <w:rPr/>
            </w:pPr>
            <w:r>
              <w:rPr/>
              <w:t>JULY 7, 2000</w:t>
            </w:r>
          </w:p>
        </w:tc>
      </w:tr>
      <w:tr>
        <w:trPr>
          <w:trHeight w:val="120" w:hRule="exact"/>
        </w:trPr>
        <w:tc>
          <w:tcPr>
            <w:tcW w:w="9198" w:type="dxa"/>
            <w:gridSpan w:val="2"/>
            <w:tcBorders/>
          </w:tcPr>
          <w:p>
            <w:pPr>
              <w:pStyle w:val="Normal"/>
              <w:snapToGrid w:val="false"/>
              <w:ind w:end="-90"/>
              <w:rPr/>
            </w:pPr>
            <w:r>
              <w:rPr/>
            </w:r>
          </w:p>
        </w:tc>
      </w:tr>
      <w:tr>
        <w:trPr/>
        <w:tc>
          <w:tcPr>
            <w:tcW w:w="1101" w:type="dxa"/>
            <w:tcBorders/>
          </w:tcPr>
          <w:p>
            <w:pPr>
              <w:pStyle w:val="Normal"/>
              <w:ind w:end="-90"/>
              <w:jc w:val="start"/>
              <w:rPr>
                <w:rFonts w:eastAsia="ＭＳ ゴシック;MS Gothic"/>
                <w:b/>
                <w:lang w:eastAsia="ja-JP"/>
              </w:rPr>
            </w:pPr>
            <w:r>
              <w:rPr>
                <w:rFonts w:eastAsia="ＭＳ ゴシック;MS Gothic"/>
                <w:b/>
                <w:lang w:eastAsia="ja-JP"/>
              </w:rPr>
              <w:t>RE:</w:t>
            </w:r>
          </w:p>
        </w:tc>
        <w:tc>
          <w:tcPr>
            <w:tcW w:w="8097" w:type="dxa"/>
            <w:tcBorders/>
          </w:tcPr>
          <w:p>
            <w:pPr>
              <w:pStyle w:val="Normal"/>
              <w:ind w:end="-90"/>
              <w:rPr/>
            </w:pPr>
            <w:r>
              <w:rPr/>
              <w:t>WEATHER AND OIL DERIVIATIVES</w:t>
            </w:r>
          </w:p>
        </w:tc>
      </w:tr>
    </w:tbl>
    <w:p>
      <w:pPr>
        <w:pStyle w:val="Normal"/>
        <w:ind w:end="14"/>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-47625</wp:posOffset>
                </wp:positionH>
                <wp:positionV relativeFrom="paragraph">
                  <wp:posOffset>67310</wp:posOffset>
                </wp:positionV>
                <wp:extent cx="6076950" cy="0"/>
                <wp:effectExtent l="0" t="5080" r="0" b="5080"/>
                <wp:wrapNone/>
                <wp:docPr id="1" name=""/>
                <a:graphic xmlns:a="http://schemas.openxmlformats.org/drawingml/2006/main">
                  <a:graphicData uri="http://schemas.microsoft.com/office/word/2010/wordprocessingShape">
                    <wps:wsp>
                      <wps:cNvSpPr/>
                      <wps:spPr>
                        <a:xfrm>
                          <a:off x="0" y="0"/>
                          <a:ext cx="6076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5.3pt" to="474.7pt,5.3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Dear John.</w:t>
      </w:r>
    </w:p>
    <w:p>
      <w:pPr>
        <w:pStyle w:val="Normal"/>
        <w:rPr/>
      </w:pPr>
      <w:r>
        <w:rPr/>
      </w:r>
    </w:p>
    <w:p>
      <w:pPr>
        <w:pStyle w:val="Normal"/>
        <w:rPr/>
      </w:pPr>
      <w:r>
        <w:rPr/>
        <w:t>We refer to our memorandum of January 14, 2000, the e-mail message from Anne Hung dated June, 13, 2000 and our meeting on July 4, 2000.  You have informed us that Enron Japan KK (“Enron Japan”) wishes to commence trading certain types of financial derivatives with counterparties in Japan.  These derivatives include swaps where the price of one payment stream is based on weather conditions in Japan or elsewhere (“Weather Derivatives”) and swaps where one of the payment streams is based on changes in the price of oil on an index located outside Japan (“Oil Derivatives”).</w:t>
      </w:r>
    </w:p>
    <w:p>
      <w:pPr>
        <w:pStyle w:val="Normal"/>
        <w:rPr/>
      </w:pPr>
      <w:r>
        <w:rPr/>
      </w:r>
    </w:p>
    <w:p>
      <w:pPr>
        <w:pStyle w:val="Normal"/>
        <w:rPr/>
      </w:pPr>
      <w:r>
        <w:rPr/>
        <w:t>You have asked whether Enron Japan will be permitted to conduct Weather Derivatives and Oil Derivatives and whether these transactions will be enforceable against counterparties in Japan.  Our analysis is set out below.  As discussed, we are not able to provide a “clean opinion” to the effect that Weather Derivatives and Oil Derivatives do not contravene the prohibition on gambling under the Japanese Criminal Code.  Accordingly, this advice sets out the regulatory framework for transactions of this type and the factors that we consider would be taken into account by a Japanese court in determining whether the Criminal Code had been contravened.</w:t>
      </w:r>
    </w:p>
    <w:p>
      <w:pPr>
        <w:pStyle w:val="Normal"/>
        <w:rPr/>
      </w:pPr>
      <w:r>
        <w:rPr/>
      </w:r>
    </w:p>
    <w:p>
      <w:pPr>
        <w:pStyle w:val="Normal"/>
        <w:ind w:hanging="720" w:start="720" w:end="0"/>
        <w:rPr/>
      </w:pPr>
      <w:r>
        <w:rPr/>
        <w:t>1.</w:t>
        <w:tab/>
      </w:r>
      <w:r>
        <w:rPr>
          <w:u w:val="single"/>
        </w:rPr>
        <w:t>Freedom of Contract</w:t>
      </w:r>
      <w:r>
        <w:rPr/>
        <w:t>:  Japanese law adopts, as a basic principle, the concept of freedom of contract.  This means that Enron Japan and its counterparties are free to enter into any contract unless restricted by the Japanese laws.  There are no general restrictions on Weather Derivatives and Oil Derivatives</w:t>
      </w:r>
      <w:r>
        <w:rPr>
          <w:rStyle w:val="FootnoteCharacters"/>
          <w:rStyle w:val="FootnoteReference"/>
        </w:rPr>
        <w:footnoteReference w:id="4"/>
      </w:r>
      <w:r>
        <w:rPr/>
        <w:t>.  However:</w:t>
      </w:r>
    </w:p>
    <w:p>
      <w:pPr>
        <w:pStyle w:val="FootnoteText"/>
        <w:rPr/>
      </w:pPr>
      <w:r>
        <w:rPr/>
      </w:r>
    </w:p>
    <w:p>
      <w:pPr>
        <w:pStyle w:val="Normal"/>
        <w:ind w:hanging="720" w:start="1440" w:end="0"/>
        <w:rPr/>
      </w:pPr>
      <w:r>
        <w:rPr/>
        <w:t>(a)</w:t>
        <w:tab/>
        <w:t xml:space="preserve">the general prohibition on gambling under the Japanese Criminal Code is potentially applicable; and </w:t>
      </w:r>
    </w:p>
    <w:p>
      <w:pPr>
        <w:pStyle w:val="Normal"/>
        <w:ind w:hanging="720" w:start="1440" w:end="0"/>
        <w:rPr/>
      </w:pPr>
      <w:r>
        <w:rPr/>
      </w:r>
    </w:p>
    <w:p>
      <w:pPr>
        <w:pStyle w:val="BodyTextIndent3"/>
        <w:rPr/>
      </w:pPr>
      <w:r>
        <w:rPr/>
        <w:t>(b)</w:t>
        <w:tab/>
        <w:t>the restriction on unlicensed persons conducting insurance business under the Insurance Business Law is potentially applicable.</w:t>
      </w:r>
    </w:p>
    <w:p>
      <w:pPr>
        <w:pStyle w:val="Normal"/>
        <w:numPr>
          <w:ilvl w:val="0"/>
          <w:numId w:val="0"/>
        </w:numPr>
        <w:ind w:hanging="720" w:start="720" w:end="0"/>
        <w:outlineLvl w:val="4"/>
        <w:rPr/>
      </w:pPr>
      <w:r>
        <w:rPr>
          <w:sz w:val="23"/>
        </w:rPr>
        <w:t>2.</w:t>
        <w:tab/>
      </w:r>
      <w:r>
        <w:rPr>
          <w:sz w:val="23"/>
          <w:u w:val="single"/>
        </w:rPr>
        <w:t>Insurance Business Law</w:t>
      </w:r>
      <w:r>
        <w:rPr>
          <w:sz w:val="23"/>
        </w:rPr>
        <w:t>:  As discussed in our January 14, 2000 memorandum, the definition of insurance under the Insurance Business Law requires that the insurance compensate the insured person for a particular loss.  We understand that neither Weather Derivatives nor Oil Derivatives will be structured so as to provide compensation with respect to a particular loss.  Rather the transactions will be structured so that a payment will be made on the occurrence of a particular event, regardless of whether or not a loss is suffered.  Accordingly, there is a good argument that these transactions will not constitute insurance.  This analysis seems to have gained broad acceptance in Japan.</w:t>
      </w:r>
    </w:p>
    <w:p>
      <w:pPr>
        <w:pStyle w:val="Normal"/>
        <w:rPr>
          <w:sz w:val="23"/>
        </w:rPr>
      </w:pPr>
      <w:r>
        <w:rPr>
          <w:sz w:val="23"/>
        </w:rPr>
      </w:r>
    </w:p>
    <w:p>
      <w:pPr>
        <w:pStyle w:val="BodyText2"/>
        <w:ind w:hanging="720" w:start="720" w:end="-90"/>
        <w:rPr/>
      </w:pPr>
      <w:r>
        <w:rPr>
          <w:sz w:val="23"/>
        </w:rPr>
        <w:t>3.</w:t>
        <w:tab/>
      </w:r>
      <w:r>
        <w:rPr>
          <w:sz w:val="23"/>
          <w:u w:val="single"/>
        </w:rPr>
        <w:t>Gambling Related Laws</w:t>
      </w:r>
      <w:r>
        <w:rPr>
          <w:sz w:val="23"/>
        </w:rPr>
        <w:t>:  Articles 185</w:t>
      </w:r>
      <w:r>
        <w:rPr>
          <w:rStyle w:val="FootnoteCharacters"/>
          <w:rStyle w:val="FootnoteReference"/>
          <w:sz w:val="23"/>
        </w:rPr>
        <w:footnoteReference w:id="5"/>
      </w:r>
      <w:r>
        <w:rPr>
          <w:sz w:val="23"/>
        </w:rPr>
        <w:t xml:space="preserve"> and 186</w:t>
      </w:r>
      <w:r>
        <w:rPr>
          <w:rStyle w:val="FootnoteCharacters"/>
          <w:rStyle w:val="FootnoteReference"/>
          <w:sz w:val="23"/>
        </w:rPr>
        <w:footnoteReference w:id="6"/>
      </w:r>
      <w:r>
        <w:rPr>
          <w:sz w:val="23"/>
        </w:rPr>
        <w:t xml:space="preserve"> of the Criminal Code establish gambling as a criminal offense.  The term “gambling” is not defined in the Criminal Code.  However commentators</w:t>
      </w:r>
      <w:r>
        <w:rPr>
          <w:rStyle w:val="FootnoteCharacters"/>
          <w:rStyle w:val="FootnoteReference"/>
          <w:sz w:val="23"/>
        </w:rPr>
        <w:footnoteReference w:id="7"/>
      </w:r>
      <w:r>
        <w:rPr>
          <w:sz w:val="23"/>
        </w:rPr>
        <w:t xml:space="preserve"> have stated that in order to constitute gambling, two elements must be shown: a bet must be placed and a profit must be realized on the basis of the outcome of a chance event.  This provision has caused some concern amongst swap participants that a swap transaction might have been regarded as a gambling transaction.</w:t>
      </w:r>
    </w:p>
    <w:p>
      <w:pPr>
        <w:pStyle w:val="BodyText2"/>
        <w:ind w:hanging="720" w:start="720" w:end="-90"/>
        <w:rPr>
          <w:sz w:val="23"/>
          <w:u w:val="single"/>
        </w:rPr>
      </w:pPr>
      <w:r>
        <w:rPr>
          <w:sz w:val="23"/>
          <w:u w:val="single"/>
        </w:rPr>
      </w:r>
    </w:p>
    <w:p>
      <w:pPr>
        <w:pStyle w:val="BodyText2"/>
        <w:ind w:hanging="720" w:start="720" w:end="-90"/>
        <w:rPr/>
      </w:pPr>
      <w:r>
        <w:rPr>
          <w:sz w:val="23"/>
        </w:rPr>
        <w:tab/>
        <w:t>Article 35</w:t>
      </w:r>
      <w:r>
        <w:rPr>
          <w:rStyle w:val="FootnoteCharacters"/>
          <w:rStyle w:val="FootnoteReference"/>
          <w:sz w:val="23"/>
        </w:rPr>
        <w:footnoteReference w:id="8"/>
      </w:r>
      <w:r>
        <w:rPr>
          <w:sz w:val="23"/>
        </w:rPr>
        <w:t xml:space="preserve"> of the Criminal Code provides a general defense to criminal conduct if the conduct is either in accordance with law or is for a legitimate business purpose.</w:t>
      </w:r>
    </w:p>
    <w:p>
      <w:pPr>
        <w:pStyle w:val="BodyText2"/>
        <w:ind w:hanging="720" w:start="720" w:end="-90"/>
        <w:rPr>
          <w:sz w:val="23"/>
        </w:rPr>
      </w:pPr>
      <w:r>
        <w:rPr>
          <w:sz w:val="23"/>
        </w:rPr>
      </w:r>
    </w:p>
    <w:p>
      <w:pPr>
        <w:pStyle w:val="BodyText2"/>
        <w:ind w:hanging="720" w:start="720" w:end="-90"/>
        <w:rPr/>
      </w:pPr>
      <w:r>
        <w:rPr>
          <w:sz w:val="23"/>
        </w:rPr>
        <w:tab/>
        <w:t>Article 90</w:t>
      </w:r>
      <w:r>
        <w:rPr>
          <w:rStyle w:val="FootnoteCharacters"/>
          <w:rStyle w:val="FootnoteReference"/>
          <w:sz w:val="23"/>
        </w:rPr>
        <w:footnoteReference w:id="9"/>
      </w:r>
      <w:r>
        <w:rPr>
          <w:sz w:val="23"/>
        </w:rPr>
        <w:t xml:space="preserve"> of the Civil Code provides that a contract that contravenes public policy will be void.  A contract entered into for a criminal purpose (including gambling) will generally contravene Japanese public policy.  There are examples of cases where a Japanese court has indicated that it will not enforce a contract to recover gaming debts.</w:t>
      </w:r>
    </w:p>
    <w:p>
      <w:pPr>
        <w:pStyle w:val="BodyText2"/>
        <w:ind w:hanging="720" w:start="720" w:end="-90"/>
        <w:rPr>
          <w:sz w:val="23"/>
        </w:rPr>
      </w:pPr>
      <w:r>
        <w:rPr>
          <w:sz w:val="23"/>
        </w:rPr>
      </w:r>
    </w:p>
    <w:p>
      <w:pPr>
        <w:pStyle w:val="BodyText2"/>
        <w:ind w:start="720" w:end="-90"/>
        <w:rPr>
          <w:sz w:val="23"/>
        </w:rPr>
      </w:pPr>
      <w:r>
        <w:rPr>
          <w:sz w:val="23"/>
        </w:rPr>
        <w:t>It is our view that a Japanese court would likely conclude that a derivatives contract (including plain vanilla interest rate and currency swaps as well as Weather Derivatives and Oil Derivatives) would constitute a gambling contract.  Accordingly, the relevant issue for Enron will be whether the defenses referred to above will apply.</w:t>
      </w:r>
    </w:p>
    <w:p>
      <w:pPr>
        <w:pStyle w:val="BodyText2"/>
        <w:ind w:start="720" w:end="-90"/>
        <w:rPr>
          <w:sz w:val="23"/>
        </w:rPr>
      </w:pPr>
      <w:r>
        <w:rPr>
          <w:sz w:val="23"/>
        </w:rPr>
      </w:r>
    </w:p>
    <w:p>
      <w:pPr>
        <w:pStyle w:val="BodyText2"/>
        <w:ind w:hanging="720" w:start="720" w:end="-90"/>
        <w:rPr/>
      </w:pPr>
      <w:r>
        <w:rPr>
          <w:sz w:val="23"/>
        </w:rPr>
        <w:t>4.</w:t>
        <w:tab/>
      </w:r>
      <w:r>
        <w:rPr>
          <w:sz w:val="23"/>
          <w:u w:val="single"/>
        </w:rPr>
        <w:t>Acts in Accordance with Law</w:t>
      </w:r>
      <w:r>
        <w:rPr>
          <w:sz w:val="23"/>
        </w:rPr>
        <w:t>:  Certain laws specifically recognize derivatives transactions.  For example, the Banking Law allows banks to enter into, amongst other things, interest rate swaps.  Accordingly, a bank and a counterparty entering into an interest rate swap agreement will be able to rely on the “acts in accordance with law” defense under Article 35 of the Criminal Code to rebut an argument that they are engaging in criminal conduct.</w:t>
      </w:r>
    </w:p>
    <w:p>
      <w:pPr>
        <w:pStyle w:val="BodyText2"/>
        <w:ind w:hanging="720" w:start="720" w:end="-90"/>
        <w:rPr>
          <w:sz w:val="23"/>
          <w:u w:val="single"/>
        </w:rPr>
      </w:pPr>
      <w:r>
        <w:rPr>
          <w:sz w:val="23"/>
          <w:u w:val="single"/>
        </w:rPr>
      </w:r>
    </w:p>
    <w:p>
      <w:pPr>
        <w:pStyle w:val="BodyText2"/>
        <w:ind w:hanging="720" w:start="720" w:end="-90"/>
        <w:rPr>
          <w:sz w:val="23"/>
        </w:rPr>
      </w:pPr>
      <w:r>
        <w:rPr>
          <w:sz w:val="23"/>
        </w:rPr>
        <w:tab/>
        <w:t>There are no laws that specifically recognize Weather Derivatives or Oil Derivatives.  Accordingly, it will not be possible to rely on the “acting in accordance with law” defense for transactions of this type.  Note that this analysis applies both to regulated entities such as banks as well as unregulated entities such as Enron Japan.</w:t>
      </w:r>
    </w:p>
    <w:p>
      <w:pPr>
        <w:pStyle w:val="BodyText2"/>
        <w:ind w:hanging="720" w:start="720" w:end="-90"/>
        <w:rPr>
          <w:sz w:val="23"/>
        </w:rPr>
      </w:pPr>
      <w:r>
        <w:rPr>
          <w:sz w:val="23"/>
        </w:rPr>
      </w:r>
    </w:p>
    <w:p>
      <w:pPr>
        <w:pStyle w:val="BodyText2"/>
        <w:ind w:hanging="720" w:start="720" w:end="-90"/>
        <w:rPr/>
      </w:pPr>
      <w:r>
        <w:rPr>
          <w:sz w:val="23"/>
        </w:rPr>
        <w:t>5.</w:t>
        <w:tab/>
      </w:r>
      <w:r>
        <w:rPr>
          <w:sz w:val="23"/>
          <w:u w:val="single"/>
        </w:rPr>
        <w:t>Legitimate Business</w:t>
      </w:r>
      <w:r>
        <w:rPr>
          <w:sz w:val="23"/>
        </w:rPr>
        <w:t>:  It is a defense to an allegation of gambling that a person is engaging in a transaction for legitimate business purposes.  The defense would need to be made out by the party against which the allegation of gambling is made.  Thus, to avoid the gambling issue completely, both parties to the transaction must be able to show a legitimate business purpose.</w:t>
      </w:r>
    </w:p>
    <w:p>
      <w:pPr>
        <w:pStyle w:val="BodyText2"/>
        <w:ind w:hanging="720" w:start="720" w:end="-90"/>
        <w:rPr>
          <w:sz w:val="23"/>
          <w:u w:val="single"/>
        </w:rPr>
      </w:pPr>
      <w:r>
        <w:rPr>
          <w:sz w:val="23"/>
          <w:u w:val="single"/>
        </w:rPr>
      </w:r>
    </w:p>
    <w:p>
      <w:pPr>
        <w:pStyle w:val="BodyText2"/>
        <w:ind w:hanging="720" w:start="720" w:end="-90"/>
        <w:rPr>
          <w:sz w:val="23"/>
        </w:rPr>
      </w:pPr>
      <w:r>
        <w:rPr>
          <w:sz w:val="23"/>
        </w:rPr>
        <w:tab/>
        <w:t>In our memorandum of January 14, 2000 we discussed the arguments relevant to the issue of whether a counterparty is engaged in a legitimate business activity.  These arguments are summarized in paragraph 6(a) below.</w:t>
      </w:r>
    </w:p>
    <w:p>
      <w:pPr>
        <w:pStyle w:val="BodyText2"/>
        <w:ind w:hanging="720" w:start="720" w:end="-90"/>
        <w:rPr>
          <w:sz w:val="23"/>
        </w:rPr>
      </w:pPr>
      <w:r>
        <w:rPr>
          <w:sz w:val="23"/>
        </w:rPr>
      </w:r>
    </w:p>
    <w:p>
      <w:pPr>
        <w:pStyle w:val="BodyText2"/>
        <w:ind w:hanging="720" w:start="720" w:end="-90"/>
        <w:rPr>
          <w:sz w:val="23"/>
        </w:rPr>
      </w:pPr>
      <w:r>
        <w:rPr>
          <w:sz w:val="23"/>
        </w:rPr>
        <w:tab/>
        <w:t>There is a more difficult issue as to whether Enron Japan is engaged in a legitimate business activity.  As noted in the e-mail message from Anne Hung dated June 13, 2000, the gambling issue would be most unlikely to arise if Enron were to enter into these transactions from offshore (although similar issues may arise in the jurisdiction in which the relevant Enron entity operates).  However, based on our discussion on July 4, 2000 we understand that this alternative is not possible for business reasons.</w:t>
      </w:r>
    </w:p>
    <w:p>
      <w:pPr>
        <w:pStyle w:val="BodyText2"/>
        <w:ind w:hanging="720" w:start="720" w:end="-90"/>
        <w:rPr>
          <w:sz w:val="23"/>
        </w:rPr>
      </w:pPr>
      <w:r>
        <w:rPr>
          <w:sz w:val="23"/>
        </w:rPr>
      </w:r>
    </w:p>
    <w:p>
      <w:pPr>
        <w:pStyle w:val="BodyText2"/>
        <w:ind w:hanging="720" w:start="720" w:end="-90"/>
        <w:rPr/>
      </w:pPr>
      <w:r>
        <w:rPr>
          <w:sz w:val="23"/>
        </w:rPr>
        <w:t>6.</w:t>
        <w:tab/>
      </w:r>
      <w:r>
        <w:rPr>
          <w:sz w:val="23"/>
          <w:u w:val="single"/>
        </w:rPr>
        <w:t>Risk Factors</w:t>
      </w:r>
      <w:r>
        <w:rPr>
          <w:sz w:val="23"/>
        </w:rPr>
        <w:t>:  Enron will need to have regard to the following risk factors in determining whether or not to engage in Weather Derivatives and Oil Derivatives through Enron Japan:</w:t>
      </w:r>
    </w:p>
    <w:p>
      <w:pPr>
        <w:pStyle w:val="BodyText2"/>
        <w:ind w:hanging="720" w:start="720" w:end="-90"/>
        <w:rPr>
          <w:sz w:val="23"/>
        </w:rPr>
      </w:pPr>
      <w:r>
        <w:rPr>
          <w:sz w:val="23"/>
        </w:rPr>
      </w:r>
    </w:p>
    <w:p>
      <w:pPr>
        <w:pStyle w:val="BodyText2"/>
        <w:ind w:hanging="720" w:start="720" w:end="-90"/>
        <w:rPr>
          <w:sz w:val="23"/>
        </w:rPr>
      </w:pPr>
      <w:r>
        <w:rPr>
          <w:sz w:val="23"/>
        </w:rPr>
        <w:tab/>
        <w:t>(a)</w:t>
        <w:tab/>
        <w:t>factors to determine if the counterparty is engaged in gambling:</w:t>
      </w:r>
    </w:p>
    <w:p>
      <w:pPr>
        <w:pStyle w:val="BodyText2"/>
        <w:ind w:hanging="720" w:start="720" w:end="-90"/>
        <w:rPr>
          <w:sz w:val="23"/>
        </w:rPr>
      </w:pPr>
      <w:r>
        <w:rPr>
          <w:sz w:val="23"/>
        </w:rPr>
      </w:r>
    </w:p>
    <w:p>
      <w:pPr>
        <w:pStyle w:val="BodyText2"/>
        <w:numPr>
          <w:ilvl w:val="0"/>
          <w:numId w:val="3"/>
        </w:numPr>
        <w:tabs>
          <w:tab w:val="clear" w:pos="720"/>
          <w:tab w:val="left" w:pos="1800" w:leader="none"/>
        </w:tabs>
        <w:ind w:hanging="360" w:start="1800" w:end="-90"/>
        <w:rPr>
          <w:sz w:val="23"/>
        </w:rPr>
      </w:pPr>
      <w:r>
        <w:rPr>
          <w:sz w:val="23"/>
        </w:rPr>
        <w:t>whether the counterparty has entered into the transaction to hedge a risk arising in the relation to the ordinary business of the counterparty – Enron should seek representations from the counterparty to this effect</w:t>
      </w:r>
      <w:r>
        <w:rPr>
          <w:rStyle w:val="FootnoteCharacters"/>
          <w:rStyle w:val="FootnoteReference"/>
          <w:sz w:val="23"/>
        </w:rPr>
        <w:footnoteReference w:id="10"/>
      </w:r>
      <w:r>
        <w:rPr>
          <w:sz w:val="23"/>
        </w:rPr>
        <w:t xml:space="preserve">; </w:t>
      </w:r>
    </w:p>
    <w:p>
      <w:pPr>
        <w:pStyle w:val="BodyText2"/>
        <w:rPr>
          <w:sz w:val="23"/>
        </w:rPr>
      </w:pPr>
      <w:r>
        <w:rPr>
          <w:sz w:val="23"/>
        </w:rPr>
      </w:r>
    </w:p>
    <w:p>
      <w:pPr>
        <w:pStyle w:val="BodyText2"/>
        <w:numPr>
          <w:ilvl w:val="0"/>
          <w:numId w:val="3"/>
        </w:numPr>
        <w:tabs>
          <w:tab w:val="clear" w:pos="720"/>
          <w:tab w:val="left" w:pos="1800" w:leader="none"/>
        </w:tabs>
        <w:ind w:hanging="360" w:start="1800" w:end="-90"/>
        <w:rPr>
          <w:sz w:val="23"/>
        </w:rPr>
      </w:pPr>
      <w:r>
        <w:rPr>
          <w:sz w:val="23"/>
        </w:rPr>
        <w:t>the nature of the derivative transaction – generally, the more “random” the events underlying the payments flows in the transaction, the more likely it is that the derivative will be regarded as gambling; and</w:t>
      </w:r>
    </w:p>
    <w:p>
      <w:pPr>
        <w:pStyle w:val="BodyText2"/>
        <w:ind w:hanging="1440" w:start="2880" w:end="-90"/>
        <w:rPr>
          <w:sz w:val="23"/>
        </w:rPr>
      </w:pPr>
      <w:r>
        <w:rPr>
          <w:sz w:val="23"/>
        </w:rPr>
      </w:r>
    </w:p>
    <w:p>
      <w:pPr>
        <w:pStyle w:val="BodyText2"/>
        <w:numPr>
          <w:ilvl w:val="0"/>
          <w:numId w:val="3"/>
        </w:numPr>
        <w:tabs>
          <w:tab w:val="clear" w:pos="720"/>
          <w:tab w:val="left" w:pos="1800" w:leader="none"/>
        </w:tabs>
        <w:ind w:hanging="360" w:start="1800" w:end="-90"/>
        <w:rPr>
          <w:sz w:val="23"/>
        </w:rPr>
      </w:pPr>
      <w:r>
        <w:rPr>
          <w:sz w:val="23"/>
        </w:rPr>
        <w:t>the sophistication of the counterparty – generally the larger and more sophisticated the counterparty, the better it will be able to understand and manage its business risks through the use of derivatives.</w:t>
      </w:r>
    </w:p>
    <w:p>
      <w:pPr>
        <w:pStyle w:val="BodyText2"/>
        <w:rPr>
          <w:rFonts w:eastAsia="Times New Roman;Times"/>
          <w:sz w:val="23"/>
        </w:rPr>
      </w:pPr>
      <w:r>
        <w:rPr>
          <w:rFonts w:eastAsia="Times New Roman;Times"/>
          <w:sz w:val="23"/>
        </w:rPr>
        <w:t xml:space="preserve"> </w:t>
      </w:r>
    </w:p>
    <w:p>
      <w:pPr>
        <w:pStyle w:val="BodyText2"/>
        <w:ind w:hanging="720" w:start="1440" w:end="-90"/>
        <w:rPr>
          <w:sz w:val="23"/>
        </w:rPr>
      </w:pPr>
      <w:r>
        <w:rPr>
          <w:sz w:val="23"/>
        </w:rPr>
        <w:t>(b)</w:t>
        <w:tab/>
        <w:t>factors to determine whether Enron is engaged in gambling:</w:t>
      </w:r>
    </w:p>
    <w:p>
      <w:pPr>
        <w:pStyle w:val="BodyText2"/>
        <w:ind w:hanging="720" w:start="1440" w:end="-90"/>
        <w:rPr>
          <w:sz w:val="23"/>
        </w:rPr>
      </w:pPr>
      <w:r>
        <w:rPr>
          <w:sz w:val="23"/>
        </w:rPr>
      </w:r>
    </w:p>
    <w:p>
      <w:pPr>
        <w:pStyle w:val="BodyText2"/>
        <w:numPr>
          <w:ilvl w:val="0"/>
          <w:numId w:val="2"/>
        </w:numPr>
        <w:tabs>
          <w:tab w:val="clear" w:pos="720"/>
          <w:tab w:val="left" w:pos="1800" w:leader="none"/>
        </w:tabs>
        <w:ind w:hanging="360" w:start="1800" w:end="-86"/>
        <w:rPr>
          <w:sz w:val="23"/>
        </w:rPr>
      </w:pPr>
      <w:r>
        <w:rPr>
          <w:sz w:val="23"/>
        </w:rPr>
        <w:t>whether Enron is taking speculative risk with respect to the transactions, or by managing risk through back-to-back agreements, Enron can be properly regarded as making profits through the management and hedging of risk;</w:t>
      </w:r>
    </w:p>
    <w:p>
      <w:pPr>
        <w:pStyle w:val="BodyText2"/>
        <w:ind w:end="-86"/>
        <w:rPr>
          <w:sz w:val="23"/>
        </w:rPr>
      </w:pPr>
      <w:r>
        <w:rPr>
          <w:sz w:val="23"/>
        </w:rPr>
      </w:r>
    </w:p>
    <w:p>
      <w:pPr>
        <w:pStyle w:val="BodyText2"/>
        <w:numPr>
          <w:ilvl w:val="0"/>
          <w:numId w:val="2"/>
        </w:numPr>
        <w:tabs>
          <w:tab w:val="clear" w:pos="720"/>
          <w:tab w:val="left" w:pos="1800" w:leader="none"/>
        </w:tabs>
        <w:ind w:hanging="360" w:start="1800" w:end="-86"/>
        <w:rPr>
          <w:sz w:val="23"/>
        </w:rPr>
      </w:pPr>
      <w:r>
        <w:rPr>
          <w:sz w:val="23"/>
        </w:rPr>
        <w:t>whether Enron markets and otherwise conducts the transactions in an appropriate manner – we believe that it is important that Enron clearly limits its counterparties to those with a legitimate business risk which needs to be hedged and with the sophistication to understand the products.  It will also be important to ensure that Enron properly explains the product to counterparties and puts in place internal procedures to ensure that these rules are properly observed and documented;</w:t>
      </w:r>
    </w:p>
    <w:p>
      <w:pPr>
        <w:pStyle w:val="BodyText2"/>
        <w:ind w:end="-86"/>
        <w:rPr>
          <w:sz w:val="23"/>
        </w:rPr>
      </w:pPr>
      <w:r>
        <w:rPr>
          <w:sz w:val="23"/>
        </w:rPr>
      </w:r>
    </w:p>
    <w:p>
      <w:pPr>
        <w:pStyle w:val="BodyText2"/>
        <w:numPr>
          <w:ilvl w:val="0"/>
          <w:numId w:val="2"/>
        </w:numPr>
        <w:tabs>
          <w:tab w:val="clear" w:pos="720"/>
          <w:tab w:val="left" w:pos="1800" w:leader="none"/>
        </w:tabs>
        <w:ind w:hanging="360" w:start="1800" w:end="-86"/>
        <w:rPr>
          <w:sz w:val="23"/>
        </w:rPr>
      </w:pPr>
      <w:r>
        <w:rPr>
          <w:sz w:val="23"/>
        </w:rPr>
        <w:t>the fact that certain banks and unregulated financial institutions have been widely reported as having already commenced business of this type, and no action has been taken by the regulatory authorities – although this does not give Enron any legal basis whatsoever for the transactions, it may provide some practical comfort as to the likelihood of action by the regulatory authorities; and</w:t>
      </w:r>
    </w:p>
    <w:p>
      <w:pPr>
        <w:pStyle w:val="BodyText2"/>
        <w:ind w:end="-86"/>
        <w:rPr>
          <w:sz w:val="23"/>
        </w:rPr>
      </w:pPr>
      <w:r>
        <w:rPr>
          <w:sz w:val="23"/>
        </w:rPr>
      </w:r>
    </w:p>
    <w:p>
      <w:pPr>
        <w:pStyle w:val="BodyText2"/>
        <w:numPr>
          <w:ilvl w:val="0"/>
          <w:numId w:val="2"/>
        </w:numPr>
        <w:tabs>
          <w:tab w:val="clear" w:pos="720"/>
          <w:tab w:val="left" w:pos="1800" w:leader="none"/>
        </w:tabs>
        <w:ind w:hanging="360" w:start="1800" w:end="-86"/>
        <w:rPr>
          <w:sz w:val="23"/>
        </w:rPr>
      </w:pPr>
      <w:r>
        <w:rPr>
          <w:sz w:val="23"/>
        </w:rPr>
        <w:t>the fact that weather and oil derivatives are actively traded in offshore markets, and the fact that the Japanese government is generally attempting to expand the scope of the Japanese financial markets.  Against this, however, is the fact that in the last 2 years the Financial Supervisory Agency (now the Financial Services Agency) has been taking an increasingly aggressive position with respect to compliance issues in relation to foreign financial institutions operating in Japan.</w:t>
      </w:r>
    </w:p>
    <w:p>
      <w:pPr>
        <w:pStyle w:val="BodyText2"/>
        <w:ind w:end="-86"/>
        <w:rPr>
          <w:sz w:val="23"/>
        </w:rPr>
      </w:pPr>
      <w:r>
        <w:rPr>
          <w:sz w:val="23"/>
        </w:rPr>
      </w:r>
    </w:p>
    <w:p>
      <w:pPr>
        <w:pStyle w:val="BodyText2"/>
        <w:ind w:hanging="720" w:start="720" w:end="-86"/>
        <w:rPr/>
      </w:pPr>
      <w:r>
        <w:rPr>
          <w:sz w:val="23"/>
        </w:rPr>
        <w:t>7.</w:t>
        <w:tab/>
      </w:r>
      <w:r>
        <w:rPr>
          <w:sz w:val="23"/>
          <w:u w:val="single"/>
        </w:rPr>
        <w:t>Conclusions</w:t>
      </w:r>
      <w:r>
        <w:rPr>
          <w:sz w:val="23"/>
        </w:rPr>
        <w:t>:  We are unable to conclude that there is no risk to Enron Japan in entering into these transactions.  However, if the steps outlined above are taken, we believe that the risk of successful adverse action by the regulators (or by a counterparty alleging the transaction to be void) is relatively low.</w:t>
      </w:r>
    </w:p>
    <w:p>
      <w:pPr>
        <w:pStyle w:val="BodyText2"/>
        <w:ind w:hanging="720" w:start="720" w:end="-86"/>
        <w:rPr>
          <w:sz w:val="23"/>
        </w:rPr>
      </w:pPr>
      <w:r>
        <w:rPr>
          <w:sz w:val="23"/>
        </w:rPr>
      </w:r>
    </w:p>
    <w:p>
      <w:pPr>
        <w:pStyle w:val="BodyText2"/>
        <w:ind w:end="-86"/>
        <w:rPr>
          <w:sz w:val="23"/>
        </w:rPr>
      </w:pPr>
      <w:r>
        <w:rPr>
          <w:sz w:val="23"/>
        </w:rPr>
        <w:t>This memorandum was prepared on the basis of advice from Naoaki Eguchi and Shinji Toyohara, licensed Japanese lawyers.</w:t>
      </w:r>
    </w:p>
    <w:p>
      <w:pPr>
        <w:pStyle w:val="BodyText2"/>
        <w:ind w:hanging="720" w:start="720" w:end="-86"/>
        <w:rPr>
          <w:sz w:val="23"/>
        </w:rPr>
      </w:pPr>
      <w:r>
        <w:rPr>
          <w:sz w:val="23"/>
        </w:rPr>
      </w:r>
    </w:p>
    <w:p>
      <w:pPr>
        <w:pStyle w:val="BodyText2"/>
        <w:ind w:hanging="720" w:start="720" w:end="-86"/>
        <w:rPr>
          <w:sz w:val="23"/>
        </w:rPr>
      </w:pPr>
      <w:r>
        <w:rPr>
          <w:sz w:val="23"/>
        </w:rPr>
        <w:t>If you have any questions, please contact Paul Davis (3479 3852) or Jeremy Pitts (3479 3839).</w:t>
      </w:r>
    </w:p>
    <w:p>
      <w:pPr>
        <w:pStyle w:val="BodyText2"/>
        <w:ind w:hanging="720" w:start="720" w:end="-86"/>
        <w:rPr>
          <w:sz w:val="23"/>
        </w:rPr>
      </w:pPr>
      <w:r>
        <w:rPr>
          <w:sz w:val="23"/>
        </w:rPr>
      </w:r>
    </w:p>
    <w:p>
      <w:pPr>
        <w:pStyle w:val="BodyText2"/>
        <w:ind w:hanging="720" w:start="720" w:end="-86"/>
        <w:rPr>
          <w:sz w:val="23"/>
        </w:rPr>
      </w:pPr>
      <w:r>
        <w:rPr>
          <w:sz w:val="23"/>
        </w:rPr>
        <w:t>Best regards</w:t>
      </w:r>
    </w:p>
    <w:p>
      <w:pPr>
        <w:pStyle w:val="BodyText2"/>
        <w:ind w:hanging="720" w:start="720" w:end="-86"/>
        <w:rPr>
          <w:sz w:val="23"/>
        </w:rPr>
      </w:pPr>
      <w:r>
        <w:rPr>
          <w:sz w:val="23"/>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CG Times (W1)">
    <w:charset w:val="00" w:characterSet="windows-1252"/>
    <w:family w:val="roman"/>
    <w:pitch w:val="variable"/>
  </w:font>
  <w:font w:name="ATEngravure">
    <w:charset w:val="00" w:characterSet="windows-1252"/>
    <w:family w:val="roman"/>
    <w:pitch w:val="variable"/>
  </w:font>
  <w:font w:name="Baker &amp; McKenzie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jc w:val="cen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CG Times (W1)" w:ascii="CG Times (W1)" w:hAnsi="CG Times (W1)"/>
          <w:sz w:val="20"/>
        </w:rPr>
        <w:t>Attorney at Foreign Law, Jurisdiction of Primary Qualification: The State of New South Wales; Designated Jurisdictions: England, Hong Kong, New Zealand and the States of Queensland and Victoria</w:t>
      </w:r>
    </w:p>
    <w:p>
      <w:pPr>
        <w:pStyle w:val="FootnoteText"/>
        <w:rPr>
          <w:rFonts w:ascii="CG Times (W1)" w:hAnsi="CG Times (W1)" w:cs="CG Times (W1)"/>
          <w:sz w:val="20"/>
        </w:rPr>
      </w:pPr>
      <w:r>
        <w:rPr>
          <w:rFonts w:cs="CG Times (W1)" w:ascii="CG Times (W1)" w:hAnsi="CG Times (W1)"/>
          <w:sz w:val="20"/>
        </w:rPr>
      </w:r>
    </w:p>
  </w:footnote>
  <w:footnote w:id="3">
    <w:p>
      <w:pPr>
        <w:pStyle w:val="FootnoteText"/>
        <w:rPr/>
      </w:pPr>
      <w:r>
        <w:rPr>
          <w:rStyle w:val="FootnoteCharacters"/>
        </w:rPr>
        <w:footnoteRef/>
      </w:r>
      <w:r>
        <w:rPr/>
        <w:t xml:space="preserve"> </w:t>
      </w:r>
      <w:r>
        <w:rPr>
          <w:sz w:val="20"/>
        </w:rPr>
        <w:t>Attorney at Foreign Law: Jurisdiction of Primary Qualification – the State of New South Wales; Designated Jurisdictions – England, Wales and the State of Victoria</w:t>
      </w:r>
    </w:p>
    <w:p>
      <w:pPr>
        <w:pStyle w:val="FootnoteText"/>
        <w:rPr>
          <w:sz w:val="20"/>
        </w:rPr>
      </w:pPr>
      <w:r>
        <w:rPr>
          <w:sz w:val="20"/>
        </w:rPr>
      </w:r>
    </w:p>
  </w:footnote>
  <w:footnote w:id="4">
    <w:p>
      <w:pPr>
        <w:pStyle w:val="FootnoteText"/>
        <w:rPr/>
      </w:pPr>
      <w:r>
        <w:rPr>
          <w:rStyle w:val="FootnoteCharacters"/>
        </w:rPr>
        <w:footnoteRef/>
      </w:r>
      <w:r>
        <w:rPr>
          <w:sz w:val="20"/>
        </w:rPr>
        <w:t xml:space="preserve"> </w:t>
      </w:r>
      <w:r>
        <w:rPr>
          <w:sz w:val="20"/>
        </w:rPr>
        <w:t>As discussed in our memorandum of January 14, 2000, certain types of commodities transactions in Japan are subject to the provisions of the Japanese Commodities Exchange Law.  We understand that the proposed Oil Derivatives are not transactions that fall within the auspices of the Commodities Exchange Law because the relevant index used for the Oil Derivatives is an index maintained outside Japan.</w:t>
      </w:r>
    </w:p>
    <w:p>
      <w:pPr>
        <w:pStyle w:val="FootnoteText"/>
        <w:rPr>
          <w:sz w:val="20"/>
        </w:rPr>
      </w:pPr>
      <w:r>
        <w:rPr>
          <w:sz w:val="20"/>
        </w:rPr>
      </w:r>
    </w:p>
  </w:footnote>
  <w:footnote w:id="5">
    <w:p>
      <w:pPr>
        <w:pStyle w:val="Normal"/>
        <w:rPr/>
      </w:pPr>
      <w:r>
        <w:rPr>
          <w:rStyle w:val="FootnoteCharacters"/>
        </w:rPr>
        <w:footnoteRef/>
      </w:r>
      <w:r>
        <w:rPr>
          <w:sz w:val="20"/>
        </w:rPr>
        <w:t xml:space="preserve"> </w:t>
      </w:r>
      <w:r>
        <w:rPr>
          <w:sz w:val="20"/>
        </w:rPr>
        <w:t>Article 185 provides: “A person who gambles shall be punished with a fine of not more than five hundred thousand yen or a minor fine.  Provided that, this shall not apply when the bet of a thing is made only for momentary amusement.”</w:t>
      </w:r>
    </w:p>
    <w:p>
      <w:pPr>
        <w:pStyle w:val="Normal"/>
        <w:rPr>
          <w:sz w:val="20"/>
        </w:rPr>
      </w:pPr>
      <w:r>
        <w:rPr>
          <w:sz w:val="20"/>
        </w:rPr>
      </w:r>
    </w:p>
  </w:footnote>
  <w:footnote w:id="6">
    <w:p>
      <w:pPr>
        <w:pStyle w:val="Normal"/>
        <w:rPr/>
      </w:pPr>
      <w:r>
        <w:rPr>
          <w:rStyle w:val="FootnoteCharacters"/>
        </w:rPr>
        <w:footnoteRef/>
      </w:r>
      <w:r>
        <w:rPr>
          <w:sz w:val="20"/>
        </w:rPr>
        <w:t xml:space="preserve"> </w:t>
      </w:r>
      <w:r>
        <w:rPr>
          <w:sz w:val="20"/>
        </w:rPr>
        <w:t>Article 186 provides: “A person who indulges in gambling as a habitual practice shall be punished with penal servitude for not more than three years.” and “(2) A person who opens a gambling house or assembles gamblers for gain shall be punished with penal servitude for not less than three months nor more than five years.</w:t>
      </w:r>
    </w:p>
    <w:p>
      <w:pPr>
        <w:pStyle w:val="FootnoteText"/>
        <w:rPr>
          <w:sz w:val="20"/>
        </w:rPr>
      </w:pPr>
      <w:r>
        <w:rPr>
          <w:sz w:val="20"/>
        </w:rPr>
      </w:r>
    </w:p>
  </w:footnote>
  <w:footnote w:id="7">
    <w:p>
      <w:pPr>
        <w:pStyle w:val="FootnoteText"/>
        <w:rPr>
          <w:sz w:val="20"/>
        </w:rPr>
      </w:pPr>
      <w:r>
        <w:rPr>
          <w:rStyle w:val="FootnoteCharacters"/>
        </w:rPr>
        <w:footnoteRef/>
      </w:r>
      <w:r>
        <w:rPr>
          <w:sz w:val="20"/>
        </w:rPr>
        <w:t xml:space="preserve"> </w:t>
      </w:r>
      <w:r>
        <w:rPr>
          <w:rFonts w:eastAsia="ＭＳ Ｐゴシック;MS Gothic"/>
          <w:sz w:val="20"/>
          <w:lang w:eastAsia="ja-JP"/>
        </w:rPr>
        <w:t>Keiho-Kakuron Kogi" by Masahide Maeda, P466; Supreme Court of Japan, July 12, 1922;Supreme Court of Japan, May 27, 1910</w:t>
      </w:r>
    </w:p>
    <w:p>
      <w:pPr>
        <w:pStyle w:val="FootnoteText"/>
        <w:rPr>
          <w:sz w:val="20"/>
        </w:rPr>
      </w:pPr>
      <w:r>
        <w:rPr>
          <w:sz w:val="20"/>
        </w:rPr>
      </w:r>
    </w:p>
  </w:footnote>
  <w:footnote w:id="8">
    <w:p>
      <w:pPr>
        <w:pStyle w:val="FootnoteText"/>
        <w:rPr/>
      </w:pPr>
      <w:r>
        <w:rPr>
          <w:rStyle w:val="FootnoteCharacters"/>
        </w:rPr>
        <w:footnoteRef/>
      </w:r>
      <w:r>
        <w:rPr>
          <w:sz w:val="20"/>
        </w:rPr>
        <w:t xml:space="preserve"> </w:t>
      </w:r>
      <w:r>
        <w:rPr>
          <w:sz w:val="20"/>
        </w:rPr>
        <w:t>Article 35 provides: “No person shall be punished for an act performed in accordance with laws and ordinances or in carrying on lawful or proper business.”</w:t>
      </w:r>
    </w:p>
    <w:p>
      <w:pPr>
        <w:pStyle w:val="FootnoteText"/>
        <w:rPr>
          <w:sz w:val="20"/>
        </w:rPr>
      </w:pPr>
      <w:r>
        <w:rPr>
          <w:sz w:val="20"/>
        </w:rPr>
      </w:r>
    </w:p>
  </w:footnote>
  <w:footnote w:id="9">
    <w:p>
      <w:pPr>
        <w:pStyle w:val="FootnoteText"/>
        <w:rPr/>
      </w:pPr>
      <w:r>
        <w:rPr>
          <w:rStyle w:val="FootnoteCharacters"/>
        </w:rPr>
        <w:footnoteRef/>
      </w:r>
      <w:r>
        <w:rPr>
          <w:sz w:val="20"/>
        </w:rPr>
        <w:t xml:space="preserve"> </w:t>
      </w:r>
      <w:r>
        <w:rPr>
          <w:sz w:val="20"/>
        </w:rPr>
        <w:t>Article 90 provides: “A juristic act which has for its object such matters as are contrary to public policy or good morals will be null and void”</w:t>
      </w:r>
    </w:p>
  </w:footnote>
  <w:footnote w:id="10">
    <w:p>
      <w:pPr>
        <w:pStyle w:val="Normal"/>
        <w:rPr/>
      </w:pPr>
      <w:r>
        <w:rPr>
          <w:rStyle w:val="FootnoteCharacters"/>
        </w:rPr>
        <w:footnoteRef/>
      </w:r>
      <w:r>
        <w:rPr/>
        <w:t xml:space="preserve"> </w:t>
      </w:r>
      <w:r>
        <w:rPr>
          <w:sz w:val="20"/>
        </w:rPr>
        <w:t xml:space="preserve">Minimum representations would be as follows:  </w:t>
      </w:r>
    </w:p>
    <w:p>
      <w:pPr>
        <w:pStyle w:val="Normal"/>
        <w:rPr>
          <w:sz w:val="20"/>
        </w:rPr>
      </w:pPr>
      <w:r>
        <w:rPr>
          <w:sz w:val="20"/>
        </w:rPr>
      </w:r>
    </w:p>
    <w:p>
      <w:pPr>
        <w:pStyle w:val="Normal"/>
        <w:rPr>
          <w:sz w:val="20"/>
        </w:rPr>
      </w:pPr>
      <w:r>
        <w:rPr>
          <w:sz w:val="20"/>
        </w:rPr>
        <w:t>[X] represents and warrants to [Enron Japan] that:</w:t>
      </w:r>
    </w:p>
    <w:p>
      <w:pPr>
        <w:pStyle w:val="BodyText3"/>
        <w:rPr/>
      </w:pPr>
      <w:r>
        <w:rPr>
          <w:rStyle w:val="Strong"/>
          <w:b w:val="false"/>
        </w:rPr>
        <w:br/>
        <w:t>(a)</w:t>
        <w:tab/>
        <w:t>it has read and fully understand the terms of the proposed transaction;</w:t>
      </w:r>
    </w:p>
    <w:p>
      <w:pPr>
        <w:pStyle w:val="BodyText3"/>
        <w:ind w:hanging="720" w:start="720" w:end="0"/>
        <w:rPr/>
      </w:pPr>
      <w:r>
        <w:rPr>
          <w:rStyle w:val="Strong"/>
          <w:b w:val="false"/>
        </w:rPr>
        <w:t>(b)</w:t>
        <w:tab/>
        <w:t>it is entering into this transaction to hedge [weather related] risks arising in the ordinary course of its business; and</w:t>
      </w:r>
    </w:p>
    <w:p>
      <w:pPr>
        <w:pStyle w:val="BodyText3"/>
        <w:ind w:hanging="720" w:start="720" w:end="0"/>
        <w:rPr/>
      </w:pPr>
      <w:r>
        <w:rPr>
          <w:rStyle w:val="Strong"/>
          <w:b w:val="false"/>
        </w:rPr>
        <w:t>(c)</w:t>
        <w:tab/>
        <w:t>accordingly, [X] has a legitimate business purpose to enter into this transaction.</w:t>
      </w:r>
    </w:p>
    <w:p>
      <w:pPr>
        <w:pStyle w:val="BodyText3"/>
        <w:ind w:hanging="720" w:start="720" w:end="0"/>
        <w:rPr/>
      </w:pPr>
      <w:r>
        <w:rPr>
          <w:rStyle w:val="Strong"/>
          <w:b w:val="false"/>
        </w:rPr>
        <w:t xml:space="preserve"> </w:t>
      </w:r>
    </w:p>
    <w:p>
      <w:pPr>
        <w:pStyle w:val="BodyText3"/>
        <w:rPr>
          <w:b/>
        </w:rPr>
      </w:pPr>
      <w:r>
        <w:rPr>
          <w:rStyle w:val="Strong"/>
          <w:b w:val="false"/>
        </w:rPr>
        <w:t xml:space="preserve">We suggest that these representations be placed in the documentation in such a position as to be clearly evident to the counterparty.  </w:t>
      </w:r>
    </w:p>
    <w:p>
      <w:pPr>
        <w:pStyle w:val="FootnoteText"/>
        <w:rPr>
          <w:b/>
        </w:rPr>
      </w:pPr>
      <w:r>
        <w:rPr>
          <w:b/>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9180" w:leader="none"/>
      </w:tabs>
      <w:rPr>
        <w:b/>
        <w:smallCaps/>
        <w:sz w:val="26"/>
      </w:rPr>
    </w:pPr>
    <w:r>
      <w:rPr>
        <w:rFonts w:cs="ATEngravure" w:ascii="ATEngravure" w:hAnsi="ATEngravure"/>
        <w:b/>
        <w:smallCaps/>
        <w:sz w:val="26"/>
      </w:rPr>
      <w:t>Tokyo Aoyama Law Office</w:t>
    </w:r>
    <w:r>
      <w:rPr>
        <w:b/>
        <w:smallCaps/>
        <w:sz w:val="26"/>
      </w:rPr>
      <w:tab/>
    </w:r>
    <w:r>
      <w:rPr>
        <w:rFonts w:cs="Baker &amp; McKenzie Logo" w:ascii="Baker &amp; McKenzie Logo" w:hAnsi="Baker &amp; McKenzie Logo"/>
        <w:b/>
        <w:smallCaps/>
        <w:spacing w:val="20"/>
        <w:sz w:val="26"/>
      </w:rPr>
      <w:sym w:font="Baker &amp; McKenzie Logo" w:char="f041"/>
      <w:sym w:font="Baker &amp; McKenzie Logo" w:char="f042"/>
    </w:r>
  </w:p>
  <w:p>
    <w:pPr>
      <w:pStyle w:val="Header"/>
      <w:tabs>
        <w:tab w:val="clear" w:pos="8640"/>
        <w:tab w:val="center" w:pos="4320" w:leader="none"/>
        <w:tab w:val="right" w:pos="9180" w:leader="none"/>
      </w:tabs>
      <w:rPr>
        <w:rFonts w:ascii="Times New Roman;Times" w:hAnsi="Times New Roman;Times" w:cs="Times New Roman;Times"/>
        <w:b/>
        <w:smallCaps/>
        <w:sz w:val="26"/>
      </w:rPr>
    </w:pPr>
    <w:r>
      <w:rPr>
        <w:rFonts w:cs="Times New Roman;Times" w:ascii="Times New Roman;Times" w:hAnsi="Times New Roman;Times"/>
        <w:b/>
        <w:smallCaps/>
        <w:sz w:val="26"/>
      </w:rPr>
    </w:r>
  </w:p>
  <w:p>
    <w:pPr>
      <w:pStyle w:val="Header"/>
      <w:rPr>
        <w:rFonts w:ascii="Times New Roman;Times" w:hAnsi="Times New Roman;Times" w:cs="Times New Roman;Times"/>
        <w:sz w:val="26"/>
      </w:rPr>
    </w:pPr>
    <w:r>
      <w:rPr>
        <w:rFonts w:cs="Times New Roman;Times" w:ascii="Times New Roman;Times" w:hAnsi="Times New Roman;Times"/>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end="14"/>
      <w:outlineLvl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Times" w:hAnsi="Times New Roman;Times" w:eastAsia="Times New Roman;Times" w:cs="Times New Roman;Times"/>
      <w:color w:val="auto"/>
      <w:sz w:val="23"/>
      <w:szCs w:val="20"/>
      <w:lang w:val="en-US" w:eastAsia="zh-CN" w:bidi="hi-IN"/>
    </w:rPr>
  </w:style>
  <w:style w:type="paragraph" w:styleId="Heading1">
    <w:name w:val="heading 1"/>
    <w:basedOn w:val="Normal"/>
    <w:next w:val="Normal"/>
    <w:qFormat/>
    <w:pPr>
      <w:keepNext w:val="true"/>
      <w:numPr>
        <w:ilvl w:val="0"/>
        <w:numId w:val="1"/>
      </w:numPr>
      <w:jc w:val="center"/>
      <w:outlineLvl w:val="0"/>
    </w:pPr>
    <w:rPr>
      <w:smallCaps/>
      <w:sz w:val="36"/>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color w:val="auto"/>
      <w:sz w:val="28"/>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60"/>
      <w:jc w:val="center"/>
    </w:pPr>
    <w:rPr>
      <w:smallCaps/>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720" w:end="0"/>
    </w:pPr>
    <w:rPr/>
  </w:style>
  <w:style w:type="paragraph" w:styleId="BodyTextIndent3">
    <w:name w:val="Body Text Indent 3"/>
    <w:basedOn w:val="Normal"/>
    <w:qFormat/>
    <w:pPr>
      <w:ind w:hanging="720" w:start="1440" w:end="0"/>
    </w:pPr>
    <w:rPr/>
  </w:style>
  <w:style w:type="paragraph" w:styleId="BodyText2">
    <w:name w:val="Body Text 2"/>
    <w:basedOn w:val="Normal"/>
    <w:qFormat/>
    <w:pPr>
      <w:spacing w:lineRule="atLeast" w:line="240"/>
      <w:ind w:hanging="0" w:start="0" w:end="-90"/>
    </w:pPr>
    <w:rPr>
      <w:rFonts w:eastAsia="ＭＳ 明朝;MS Gothic"/>
      <w:sz w:val="24"/>
      <w:lang w:val="en-AU"/>
    </w:rPr>
  </w:style>
  <w:style w:type="paragraph" w:styleId="BodyText3">
    <w:name w:val="Body Text 3"/>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atLeast" w:line="240"/>
    </w:pPr>
    <w:rPr>
      <w:rFonts w:ascii="CG Times (W1)" w:hAnsi="CG Times (W1)" w:cs="CG Times (W1)"/>
      <w:sz w:val="24"/>
    </w:rPr>
  </w:style>
  <w:style w:type="paragraph" w:styleId="Header">
    <w:name w:val="header"/>
    <w:basedOn w:val="Normal"/>
    <w:pPr>
      <w:tabs>
        <w:tab w:val="clear" w:pos="720"/>
        <w:tab w:val="center" w:pos="4320" w:leader="none"/>
        <w:tab w:val="right" w:pos="8640" w:leader="none"/>
      </w:tabs>
      <w:spacing w:lineRule="atLeast" w:line="240"/>
    </w:pPr>
    <w:rPr>
      <w:rFonts w:ascii="CG Times (W1)" w:hAnsi="CG Times (W1)" w:cs="CG Times (W1)"/>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2000-07-07T01:54:00Z</dcterms:created>
  <dc:creator>Jeremy Pitts</dc:creator>
  <dc:description/>
  <dc:language>en-CA</dc:language>
  <cp:lastModifiedBy>Jeremy Pitts</cp:lastModifiedBy>
  <cp:lastPrinted>2000-07-07T17:53:00Z</cp:lastPrinted>
  <dcterms:modified xsi:type="dcterms:W3CDTF">2000-07-07T08:14:00Z</dcterms:modified>
  <cp:revision>10</cp:revision>
  <dc:subject/>
  <dc:title>We refer to our memorandum of January 14, 2000, the e-mail message from Anne Hung dated [</dc:title>
</cp:coreProperties>
</file>