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t>June 21,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t>EMP ECHO,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t>c/o Allegro Capital Management,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t>900 Lovett Boulevard, Suite 210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sz w:val="24"/>
        </w:rPr>
      </w:pPr>
      <w:r>
        <w:rPr>
          <w:sz w:val="24"/>
        </w:rPr>
        <w:t>Houston, Texas 77006</w:t>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400" w:leader="none"/>
          <w:tab w:val="left" w:pos="5760" w:leader="none"/>
          <w:tab w:val="left" w:pos="6480" w:leader="none"/>
          <w:tab w:val="left" w:pos="7200" w:leader="none"/>
          <w:tab w:val="left" w:pos="7920" w:leader="none"/>
          <w:tab w:val="left" w:pos="8640" w:leader="none"/>
          <w:tab w:val="left" w:pos="9360" w:leader="none"/>
        </w:tabs>
        <w:ind w:end="-90"/>
        <w:rPr>
          <w:sz w:val="24"/>
        </w:rPr>
      </w:pPr>
      <w:r>
        <w:rPr>
          <w:sz w:val="24"/>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400" w:leader="none"/>
          <w:tab w:val="left" w:pos="5760" w:leader="none"/>
          <w:tab w:val="left" w:pos="6480" w:leader="none"/>
          <w:tab w:val="left" w:pos="7200" w:leader="none"/>
          <w:tab w:val="left" w:pos="7920" w:leader="none"/>
          <w:tab w:val="left" w:pos="8640" w:leader="none"/>
          <w:tab w:val="left" w:pos="9360" w:leader="none"/>
        </w:tabs>
        <w:ind w:end="-90"/>
        <w:rPr>
          <w:sz w:val="24"/>
        </w:rPr>
      </w:pPr>
      <w:r>
        <w:rPr>
          <w:sz w:val="24"/>
        </w:rPr>
        <w:t>Attention:</w:t>
        <w:tab/>
        <w:t>Patricia B. Melcher, President</w:t>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400" w:leader="none"/>
          <w:tab w:val="left" w:pos="5760" w:leader="none"/>
          <w:tab w:val="left" w:pos="6480" w:leader="none"/>
          <w:tab w:val="left" w:pos="7200" w:leader="none"/>
          <w:tab w:val="left" w:pos="7920" w:leader="none"/>
          <w:tab w:val="left" w:pos="8640" w:leader="none"/>
          <w:tab w:val="left" w:pos="9360" w:leader="none"/>
        </w:tabs>
        <w:ind w:end="-90"/>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4"/>
        </w:rPr>
        <w:t>Re:</w:t>
        <w:tab/>
        <w:t>Second Amended and Restated Limited Liability Company Agreement of ECS Compression Company, L.L.C. (the “</w:t>
      </w:r>
      <w:r>
        <w:rPr>
          <w:i/>
          <w:sz w:val="24"/>
        </w:rPr>
        <w:t>Company”</w:t>
      </w:r>
      <w:r>
        <w:rPr>
          <w:sz w:val="24"/>
        </w:rPr>
        <w:t>), dated as of March 30, 2000 (the “</w:t>
      </w:r>
      <w:r>
        <w:rPr>
          <w:i/>
          <w:sz w:val="24"/>
        </w:rPr>
        <w:t>Agreement</w:t>
      </w:r>
      <w:r>
        <w:rPr>
          <w:sz w:val="24"/>
        </w:rPr>
        <w:t>”), between Enron Compression Services Company (“</w:t>
      </w:r>
      <w:r>
        <w:rPr>
          <w:i/>
          <w:sz w:val="24"/>
        </w:rPr>
        <w:t>ECS”</w:t>
      </w:r>
      <w:r>
        <w:rPr>
          <w:sz w:val="24"/>
        </w:rPr>
        <w:t>) and EMP ECHO L.L.C. (“</w:t>
      </w:r>
      <w:r>
        <w:rPr>
          <w:i/>
          <w:sz w:val="24"/>
        </w:rPr>
        <w:t>ECHO”</w:t>
      </w:r>
      <w:r>
        <w:rPr>
          <w:sz w:val="24"/>
        </w:rPr>
        <w:t>)</w:t>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400" w:leader="none"/>
          <w:tab w:val="left" w:pos="5760" w:leader="none"/>
          <w:tab w:val="left" w:pos="6480" w:leader="none"/>
          <w:tab w:val="left" w:pos="7200" w:leader="none"/>
          <w:tab w:val="left" w:pos="7920" w:leader="none"/>
          <w:tab w:val="left" w:pos="8640" w:leader="none"/>
          <w:tab w:val="left" w:pos="9360" w:leader="none"/>
        </w:tabs>
        <w:ind w:end="-90"/>
        <w:rPr>
          <w:sz w:val="24"/>
        </w:rPr>
      </w:pPr>
      <w:r>
        <w:rPr>
          <w:sz w:val="24"/>
        </w:rPr>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400" w:leader="none"/>
          <w:tab w:val="left" w:pos="5760" w:leader="none"/>
          <w:tab w:val="left" w:pos="6480" w:leader="none"/>
          <w:tab w:val="left" w:pos="7200" w:leader="none"/>
          <w:tab w:val="left" w:pos="7920" w:leader="none"/>
          <w:tab w:val="left" w:pos="8640" w:leader="none"/>
          <w:tab w:val="left" w:pos="9360" w:leader="none"/>
        </w:tabs>
        <w:ind w:end="-90"/>
        <w:rPr>
          <w:sz w:val="24"/>
        </w:rPr>
      </w:pPr>
      <w:r>
        <w:rPr>
          <w:sz w:val="24"/>
        </w:rPr>
        <w:t>Dear Ms. Melcher:</w:t>
      </w:r>
    </w:p>
    <w:p>
      <w:pPr>
        <w:pStyle w:val="Normal"/>
        <w:tabs>
          <w:tab w:val="clear" w:pos="720"/>
          <w:tab w:val="left" w:pos="-108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4860" w:leader="none"/>
          <w:tab w:val="left" w:pos="5400" w:leader="none"/>
          <w:tab w:val="left" w:pos="5760" w:leader="none"/>
          <w:tab w:val="left" w:pos="6480" w:leader="none"/>
          <w:tab w:val="left" w:pos="7200" w:leader="none"/>
          <w:tab w:val="left" w:pos="7920" w:leader="none"/>
          <w:tab w:val="left" w:pos="8640" w:leader="none"/>
          <w:tab w:val="left" w:pos="9360" w:leader="none"/>
        </w:tabs>
        <w:ind w:end="-90"/>
        <w:rPr>
          <w:sz w:val="24"/>
        </w:rPr>
      </w:pPr>
      <w:r>
        <w:rPr>
          <w:sz w:val="24"/>
        </w:rPr>
      </w:r>
    </w:p>
    <w:p>
      <w:pPr>
        <w:pStyle w:val="BodyText"/>
        <w:rPr/>
      </w:pPr>
      <w:r>
        <w:rPr>
          <w:sz w:val="24"/>
        </w:rPr>
        <w:tab/>
        <w:t>Reference is made to the proposed amendments to the Agreement and certain related instruments set forth in the attached draft of Amendment Agreement between ECHO, ECS, Houston Pipe Line Company, Enron North America Corp., and the Company (collectively, the “</w:t>
      </w:r>
      <w:r>
        <w:rPr>
          <w:i/>
          <w:sz w:val="24"/>
        </w:rPr>
        <w:t>Amendments</w:t>
      </w:r>
      <w:r>
        <w:rPr>
          <w:sz w:val="24"/>
        </w:rPr>
        <w:t xml:space="preserve">”).  The Company has proposed Amendments changing specific dollar amounts to reflect a correction to the amount that ECHO paid for its Class C Member Interest in the Company.  The Company hereby confirms to ECHO that the proposed Amendments </w:t>
      </w:r>
      <w:r>
        <w:rPr>
          <w:color w:val="000000"/>
          <w:sz w:val="24"/>
          <w:lang w:eastAsia="en-US"/>
        </w:rPr>
        <w:t>will not reduce the Company’s distributions that would have been made to ECHO absent the Amendments.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tab/>
        <w:tab/>
        <w:tab/>
        <w:tab/>
        <w:tab/>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tab/>
        <w:tab/>
        <w:tab/>
        <w:tab/>
        <w:tab/>
        <w:t xml:space="preserve">ECS Compression Company, L.L.C.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tab/>
        <w:tab/>
        <w:tab/>
        <w:tab/>
        <w:tab/>
        <w:t>By:</w:t>
        <w:tab/>
        <w:t>Enron Compression Services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tab/>
        <w:tab/>
        <w:tab/>
        <w:tab/>
        <w:tab/>
        <w:t>By:</w:t>
        <w:tab/>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tab/>
        <w:tab/>
        <w:tab/>
        <w:tab/>
        <w:tab/>
        <w:t>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rPr>
          <w:color w:val="000000"/>
          <w:sz w:val="24"/>
          <w:lang w:eastAsia="en-US"/>
        </w:rPr>
      </w:pPr>
      <w:r>
        <w:rPr>
          <w:color w:val="000000"/>
          <w:sz w:val="24"/>
          <w:lang w:eastAsia="en-US"/>
        </w:rPr>
        <w:tab/>
        <w:tab/>
        <w:tab/>
        <w:tab/>
        <w:tab/>
        <w:t>Printed Name and Title</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2000-06-21T17:27:00Z</dcterms:created>
  <dc:creator>ndobin</dc:creator>
  <dc:description/>
  <dc:language>en-CA</dc:language>
  <cp:lastModifiedBy>ndobin</cp:lastModifiedBy>
  <cp:lastPrinted>2000-06-21T14:57:00Z</cp:lastPrinted>
  <dcterms:modified xsi:type="dcterms:W3CDTF">2000-06-21T17:27:00Z</dcterms:modified>
  <cp:revision>3</cp:revision>
  <dc:subject/>
  <dc:title>EMP ECHO, L</dc:title>
</cp:coreProperties>
</file>